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DE526">
      <w:pPr>
        <w:jc w:val="center"/>
        <w:rPr>
          <w:sz w:val="36"/>
          <w:szCs w:val="36"/>
        </w:rPr>
      </w:pPr>
    </w:p>
    <w:p w14:paraId="062BD267">
      <w:pPr>
        <w:jc w:val="center"/>
        <w:rPr>
          <w:sz w:val="36"/>
          <w:szCs w:val="36"/>
        </w:rPr>
      </w:pPr>
      <w:bookmarkStart w:id="0" w:name="_GoBack"/>
      <w:bookmarkEnd w:id="0"/>
    </w:p>
    <w:p w14:paraId="004B149C">
      <w:pPr>
        <w:jc w:val="center"/>
        <w:rPr>
          <w:rFonts w:hint="eastAsia" w:ascii="黑体" w:hAnsi="黑体" w:eastAsia="黑体" w:cs="黑体"/>
          <w:sz w:val="84"/>
          <w:szCs w:val="84"/>
        </w:rPr>
      </w:pPr>
      <w:r>
        <w:rPr>
          <w:rFonts w:hint="eastAsia" w:ascii="黑体" w:hAnsi="黑体" w:eastAsia="黑体" w:cs="黑体"/>
          <w:sz w:val="84"/>
          <w:szCs w:val="84"/>
        </w:rPr>
        <w:t>比价文件</w:t>
      </w:r>
    </w:p>
    <w:p w14:paraId="1B72E748">
      <w:pPr>
        <w:jc w:val="center"/>
        <w:rPr>
          <w:rFonts w:eastAsia="华文中宋"/>
          <w:sz w:val="36"/>
          <w:szCs w:val="36"/>
        </w:rPr>
      </w:pPr>
    </w:p>
    <w:p w14:paraId="45EB8530">
      <w:pPr>
        <w:jc w:val="center"/>
        <w:rPr>
          <w:rFonts w:eastAsia="华文中宋"/>
          <w:sz w:val="36"/>
          <w:szCs w:val="36"/>
        </w:rPr>
      </w:pPr>
    </w:p>
    <w:p w14:paraId="2873C1B6">
      <w:pPr>
        <w:jc w:val="center"/>
        <w:rPr>
          <w:rFonts w:eastAsia="华文中宋"/>
          <w:sz w:val="36"/>
          <w:szCs w:val="36"/>
        </w:rPr>
      </w:pPr>
    </w:p>
    <w:p w14:paraId="45BC5250">
      <w:pPr>
        <w:ind w:left="762" w:leftChars="363" w:firstLine="960" w:firstLineChars="300"/>
        <w:rPr>
          <w:rFonts w:ascii="微软雅黑" w:hAnsi="微软雅黑" w:eastAsia="微软雅黑"/>
          <w:bCs/>
          <w:color w:val="000000"/>
          <w:sz w:val="32"/>
          <w:szCs w:val="32"/>
        </w:rPr>
      </w:pPr>
    </w:p>
    <w:tbl>
      <w:tblPr>
        <w:tblStyle w:val="8"/>
        <w:tblW w:w="0" w:type="auto"/>
        <w:jc w:val="center"/>
        <w:tblLayout w:type="fixed"/>
        <w:tblCellMar>
          <w:top w:w="0" w:type="dxa"/>
          <w:left w:w="108" w:type="dxa"/>
          <w:bottom w:w="0" w:type="dxa"/>
          <w:right w:w="108" w:type="dxa"/>
        </w:tblCellMar>
      </w:tblPr>
      <w:tblGrid>
        <w:gridCol w:w="1883"/>
        <w:gridCol w:w="5566"/>
      </w:tblGrid>
      <w:tr w14:paraId="5D3FA915">
        <w:tblPrEx>
          <w:tblCellMar>
            <w:top w:w="0" w:type="dxa"/>
            <w:left w:w="108" w:type="dxa"/>
            <w:bottom w:w="0" w:type="dxa"/>
            <w:right w:w="108" w:type="dxa"/>
          </w:tblCellMar>
        </w:tblPrEx>
        <w:trPr>
          <w:jc w:val="center"/>
        </w:trPr>
        <w:tc>
          <w:tcPr>
            <w:tcW w:w="1883" w:type="dxa"/>
          </w:tcPr>
          <w:p w14:paraId="747851BD">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tcPr>
          <w:p w14:paraId="3729E1F0">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智能大数据系统</w:t>
            </w:r>
          </w:p>
        </w:tc>
      </w:tr>
      <w:tr w14:paraId="53E492ED">
        <w:tblPrEx>
          <w:tblCellMar>
            <w:top w:w="0" w:type="dxa"/>
            <w:left w:w="108" w:type="dxa"/>
            <w:bottom w:w="0" w:type="dxa"/>
            <w:right w:w="108" w:type="dxa"/>
          </w:tblCellMar>
        </w:tblPrEx>
        <w:trPr>
          <w:jc w:val="center"/>
        </w:trPr>
        <w:tc>
          <w:tcPr>
            <w:tcW w:w="1883" w:type="dxa"/>
          </w:tcPr>
          <w:p w14:paraId="27D33E06">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tcPr>
          <w:p w14:paraId="0371670C">
            <w:pPr>
              <w:rPr>
                <w:rFonts w:ascii="微软雅黑" w:hAnsi="微软雅黑" w:eastAsia="微软雅黑"/>
                <w:bCs/>
                <w:color w:val="000000"/>
                <w:sz w:val="32"/>
                <w:szCs w:val="32"/>
              </w:rPr>
            </w:pPr>
            <w:r>
              <w:rPr>
                <w:rFonts w:hint="eastAsia" w:ascii="微软雅黑" w:hAnsi="微软雅黑" w:eastAsia="微软雅黑"/>
                <w:bCs/>
                <w:color w:val="000000"/>
                <w:sz w:val="32"/>
                <w:szCs w:val="32"/>
              </w:rPr>
              <w:t>20</w:t>
            </w:r>
            <w:r>
              <w:rPr>
                <w:rFonts w:ascii="微软雅黑" w:hAnsi="微软雅黑" w:eastAsia="微软雅黑"/>
                <w:bCs/>
                <w:color w:val="000000"/>
                <w:sz w:val="32"/>
                <w:szCs w:val="32"/>
              </w:rPr>
              <w:t>26-YKGJGXOMYY-F4003</w:t>
            </w:r>
          </w:p>
        </w:tc>
      </w:tr>
    </w:tbl>
    <w:p w14:paraId="0CE052FA">
      <w:pPr>
        <w:jc w:val="center"/>
        <w:rPr>
          <w:rFonts w:eastAsia="华文中宋"/>
          <w:sz w:val="36"/>
          <w:szCs w:val="36"/>
        </w:rPr>
      </w:pPr>
    </w:p>
    <w:p w14:paraId="7E412FDE">
      <w:pPr>
        <w:jc w:val="center"/>
        <w:rPr>
          <w:rFonts w:eastAsia="华文中宋"/>
          <w:sz w:val="36"/>
          <w:szCs w:val="36"/>
        </w:rPr>
      </w:pPr>
    </w:p>
    <w:p w14:paraId="631B1278">
      <w:pPr>
        <w:jc w:val="center"/>
        <w:rPr>
          <w:rFonts w:eastAsia="华文中宋"/>
          <w:sz w:val="36"/>
          <w:szCs w:val="36"/>
        </w:rPr>
      </w:pPr>
    </w:p>
    <w:p w14:paraId="15B3B96D">
      <w:pPr>
        <w:jc w:val="center"/>
        <w:rPr>
          <w:rFonts w:eastAsia="华文中宋"/>
          <w:sz w:val="36"/>
          <w:szCs w:val="36"/>
        </w:rPr>
      </w:pPr>
    </w:p>
    <w:p w14:paraId="2865EDCD">
      <w:pPr>
        <w:jc w:val="center"/>
        <w:rPr>
          <w:rFonts w:eastAsia="华文中宋"/>
          <w:sz w:val="36"/>
          <w:szCs w:val="36"/>
        </w:rPr>
      </w:pPr>
    </w:p>
    <w:p w14:paraId="144C4D73">
      <w:pPr>
        <w:spacing w:line="560" w:lineRule="exact"/>
        <w:jc w:val="center"/>
        <w:rPr>
          <w:rFonts w:hint="eastAsia" w:eastAsia="黑体"/>
          <w:sz w:val="28"/>
          <w:szCs w:val="28"/>
          <w:lang w:eastAsia="zh-CN"/>
        </w:rPr>
      </w:pPr>
      <w:r>
        <w:rPr>
          <w:rFonts w:hint="eastAsia" w:eastAsia="黑体"/>
          <w:sz w:val="28"/>
          <w:szCs w:val="28"/>
          <w:lang w:val="en-US" w:eastAsia="zh-CN"/>
        </w:rPr>
        <w:t>某单位</w:t>
      </w:r>
    </w:p>
    <w:p w14:paraId="210B5258">
      <w:pPr>
        <w:spacing w:line="560" w:lineRule="exact"/>
        <w:rPr>
          <w:rFonts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14:paraId="19F29C23">
      <w:pPr>
        <w:spacing w:line="560" w:lineRule="exact"/>
        <w:jc w:val="center"/>
        <w:rPr>
          <w:rFonts w:hint="eastAsia" w:ascii="黑体" w:hAnsi="黑体" w:eastAsia="黑体" w:cs="黑体"/>
          <w:sz w:val="44"/>
          <w:szCs w:val="44"/>
          <w:lang w:val="zh-CN"/>
        </w:rPr>
      </w:pPr>
      <w:r>
        <w:rPr>
          <w:rFonts w:hint="eastAsia" w:ascii="黑体" w:hAnsi="黑体" w:eastAsia="黑体" w:cs="黑体"/>
          <w:sz w:val="44"/>
          <w:szCs w:val="44"/>
          <w:lang w:val="zh-CN"/>
        </w:rPr>
        <w:t>智能大数据系统项目技术标准和服务要求</w:t>
      </w:r>
    </w:p>
    <w:p w14:paraId="4A13A57F">
      <w:pPr>
        <w:spacing w:line="560" w:lineRule="exact"/>
        <w:ind w:firstLine="640" w:firstLineChars="200"/>
        <w:jc w:val="left"/>
        <w:rPr>
          <w:rFonts w:ascii="黑体" w:hAnsi="黑体" w:eastAsia="黑体"/>
          <w:sz w:val="32"/>
          <w:szCs w:val="32"/>
        </w:rPr>
      </w:pPr>
    </w:p>
    <w:p w14:paraId="4096B47F">
      <w:pPr>
        <w:spacing w:line="560" w:lineRule="exact"/>
        <w:ind w:firstLine="640" w:firstLineChars="200"/>
        <w:jc w:val="left"/>
        <w:rPr>
          <w:rFonts w:ascii="黑体" w:hAnsi="黑体" w:eastAsia="黑体"/>
          <w:sz w:val="32"/>
          <w:szCs w:val="32"/>
        </w:rPr>
      </w:pPr>
      <w:r>
        <w:rPr>
          <w:rFonts w:hint="eastAsia" w:ascii="黑体" w:hAnsi="黑体" w:eastAsia="黑体"/>
          <w:sz w:val="32"/>
          <w:szCs w:val="32"/>
        </w:rPr>
        <w:t>一、采购内容</w:t>
      </w:r>
    </w:p>
    <w:p w14:paraId="1718AFD1">
      <w:pPr>
        <w:spacing w:line="560" w:lineRule="exact"/>
        <w:ind w:firstLine="640" w:firstLineChars="200"/>
        <w:rPr>
          <w:rFonts w:ascii="仿宋_GB2312" w:hAnsi="黑体" w:eastAsia="仿宋_GB2312"/>
          <w:sz w:val="32"/>
          <w:szCs w:val="32"/>
        </w:rPr>
      </w:pPr>
      <w:r>
        <w:rPr>
          <w:rFonts w:hint="eastAsia" w:ascii="仿宋_GB2312" w:hAnsi="宋体" w:eastAsia="仿宋_GB2312"/>
          <w:color w:val="000000"/>
          <w:sz w:val="32"/>
          <w:szCs w:val="32"/>
        </w:rPr>
        <w:t>本次采购包括2年期智能大数据系统服务，以及2年期信息数据收集服务，包含在2年内根据采购方研究方向定制不少于3个采集源，专项收集信息数据。该系统可实现全球公开信息的自动化采集、清洗、分类与检索，支持多语种数据管理、人物关联图谱，为学术研究提供数据支撑。</w:t>
      </w:r>
    </w:p>
    <w:p w14:paraId="24452E16">
      <w:pPr>
        <w:spacing w:line="560" w:lineRule="exact"/>
        <w:ind w:firstLine="640" w:firstLineChars="200"/>
        <w:jc w:val="left"/>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、详细技术要求</w:t>
      </w:r>
    </w:p>
    <w:p w14:paraId="417549AA">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1. 系统整体要求</w:t>
      </w:r>
    </w:p>
    <w:p w14:paraId="26C222A8">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互联网云服务，BS架构，支持Chrome、Edge和Safari等主流浏览器。</w:t>
      </w:r>
    </w:p>
    <w:p w14:paraId="7A20B013">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支持嵌入向量索引，实现跨语种、跨篇章的语义搜索；支持接入高校授权的大语言模型或本地部署模型。</w:t>
      </w:r>
    </w:p>
    <w:p w14:paraId="0692B5CC">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支持多源公开数据接入，覆盖不少于15个国家和地区的公开信息源，并支持自定义数据源扩展。</w:t>
      </w:r>
    </w:p>
    <w:p w14:paraId="44DCD6B8">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单条信息从采集到完成实体识别、情感标注、主题分类的端到端处理时间不超过2分钟。</w:t>
      </w:r>
    </w:p>
    <w:p w14:paraId="7AA7F5BD">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2. 智能信息分析功能</w:t>
      </w:r>
    </w:p>
    <w:p w14:paraId="401928BB">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2.1 公开信息智能检索</w:t>
      </w:r>
    </w:p>
    <w:p w14:paraId="3A95DA3A">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平台支持自然语言检索功能，用户可通过提问方式从信息库中快速获取所需公开信息。平台支持对公开人物的基本信息（包括姓名、国籍、职务、履历等）进行查询，并支持对信息数据进行关联展示，便于用户理解信息之间的逻辑关系。</w:t>
      </w:r>
    </w:p>
    <w:p w14:paraId="56D4F353">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2.2 全球热点智能分析</w:t>
      </w:r>
    </w:p>
    <w:p w14:paraId="22A522FF">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以世界地图为底图，按国家/区域展示公开信息数据分布；点击区域查看信息总量、热点主题和分类占比。</w:t>
      </w:r>
    </w:p>
    <w:p w14:paraId="0C00E882">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按国家展示热点排行，包含热点标题、摘要及信息数量统计。</w:t>
      </w:r>
    </w:p>
    <w:p w14:paraId="6C0142C8">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通过自然语言提问，系统即时根据信息库数据准确回复，不编造。支持国家查询、国家对比分析、具体领域、指标或事件的深度分析等。</w:t>
      </w:r>
    </w:p>
    <w:p w14:paraId="297BEB59">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2.3多语种信息与文献智能综述工具</w:t>
      </w:r>
    </w:p>
    <w:p w14:paraId="7DECC3A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支持自定义研究主题、时间范围，自动从信息库检索相关文献，生成结构化综述视图。</w:t>
      </w:r>
    </w:p>
    <w:p w14:paraId="6E2FEFF1">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支持将生成的各类结构化视图及AI分析结论拼装为标准的研究报告素材。系统内置报告模板包括文献综述、对比综述。</w:t>
      </w:r>
    </w:p>
    <w:p w14:paraId="09F66D18">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3. 信息采集清洗功能</w:t>
      </w:r>
    </w:p>
    <w:p w14:paraId="074D5CFE">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3.1 多源信息专项采集</w:t>
      </w:r>
    </w:p>
    <w:p w14:paraId="7B197A0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支持从全球主要国家和地区（根据研究方需求提供不少于15个国家和地区，具体需求方向由研究方提供）的公开网站采集公开信息。</w:t>
      </w:r>
    </w:p>
    <w:p w14:paraId="6C6083C2">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支持根据研究主题定制信息采集源，数据直接汇入分析模块。</w:t>
      </w:r>
    </w:p>
    <w:p w14:paraId="756D529C">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3.2 智能解析与结构化</w:t>
      </w:r>
    </w:p>
    <w:p w14:paraId="0FB7F8F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支持对采集信息自动进行实体识别（人物、组织、地点）和关键词提取。</w:t>
      </w:r>
    </w:p>
    <w:p w14:paraId="462C5434">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支持自动标注主题分类和关键词，标注结果用于信息分类展示。</w:t>
      </w:r>
    </w:p>
    <w:p w14:paraId="63C30206">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4. 系统管理功能</w:t>
      </w:r>
    </w:p>
    <w:p w14:paraId="4EA26955">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4.1信息数据管理</w:t>
      </w:r>
    </w:p>
    <w:p w14:paraId="0AAF6267">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支持数据维护：查看、更新、合并数据节点；人工修正实体识别结果；设置重点关注与信息更新提醒规则。</w:t>
      </w:r>
    </w:p>
    <w:p w14:paraId="33FF41F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支持配置国家/区域分类体系；维护主题领域与宏观指标数据；管理采集源状态与地图渲染规则</w:t>
      </w:r>
    </w:p>
    <w:p w14:paraId="39D336C0">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4.2 数据资产总览</w:t>
      </w:r>
    </w:p>
    <w:p w14:paraId="3F85D664">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支持查看语言数据资产的统计信息，包括语料库的数量、在建工作坊数量、篇章数、形符总数；近7日更新更新的篇章数、形符总数；按语种的篇章数、形符总数。</w:t>
      </w:r>
    </w:p>
    <w:p w14:paraId="3C31A48B">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4.3 管理校本语料库</w:t>
      </w:r>
    </w:p>
    <w:p w14:paraId="2C64EB97">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支持查看所有语料库，每个语料库展示语料库名称、最近更新时间、标签、语种、篇章数、形符数；按语种、标签筛选；按语料库名称、语种、形符数等排序。</w:t>
      </w:r>
    </w:p>
    <w:p w14:paraId="0CF6345F">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支持创建语料库，设定语料库的名称、描述、标签和封面。</w:t>
      </w:r>
    </w:p>
    <w:p w14:paraId="6E17DC58">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支持修改语料库的基本信息，包括：名称、描述、封面等。</w:t>
      </w:r>
    </w:p>
    <w:p w14:paraId="555B73F9">
      <w:pPr>
        <w:adjustRightInd w:val="0"/>
        <w:snapToGrid w:val="0"/>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支持查看语料库的操作记录，每条记录包含操作人、操作内容和操作时间，操作内容包括：设置信息，修改标注集，导入语料，添加、删除、编辑语料，添加、移除标注等；按操作时间和操作人查找操作记录。</w:t>
      </w:r>
    </w:p>
    <w:p w14:paraId="37E17CA3">
      <w:pPr>
        <w:spacing w:line="56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5 部署</w:t>
      </w:r>
      <w:r>
        <w:rPr>
          <w:rFonts w:ascii="仿宋_GB2312" w:hAnsi="宋体" w:eastAsia="仿宋_GB2312" w:cs="宋体"/>
          <w:b/>
          <w:sz w:val="32"/>
          <w:szCs w:val="32"/>
        </w:rPr>
        <w:t>与交付</w:t>
      </w:r>
    </w:p>
    <w:p w14:paraId="2DC11E1B">
      <w:pPr>
        <w:adjustRightInd w:val="0"/>
        <w:snapToGrid w:val="0"/>
        <w:spacing w:line="560" w:lineRule="exact"/>
        <w:ind w:firstLine="643" w:firstLineChars="200"/>
        <w:rPr>
          <w:rFonts w:ascii="仿宋_GB2312" w:hAnsi="黑体" w:eastAsia="仿宋_GB2312"/>
          <w:sz w:val="32"/>
          <w:szCs w:val="32"/>
        </w:rPr>
      </w:pPr>
      <w:r>
        <w:rPr>
          <w:rFonts w:ascii="仿宋_GB2312" w:hAnsi="黑体" w:eastAsia="仿宋_GB2312"/>
          <w:b/>
          <w:sz w:val="32"/>
          <w:szCs w:val="32"/>
        </w:rPr>
        <w:t>5.</w:t>
      </w:r>
      <w:r>
        <w:rPr>
          <w:rFonts w:hint="eastAsia" w:ascii="仿宋_GB2312" w:hAnsi="黑体" w:eastAsia="仿宋_GB2312"/>
          <w:b/>
          <w:sz w:val="32"/>
          <w:szCs w:val="32"/>
        </w:rPr>
        <w:t>1</w:t>
      </w:r>
      <w:r>
        <w:rPr>
          <w:rFonts w:hint="eastAsia"/>
          <w:b/>
        </w:rPr>
        <w:t xml:space="preserve"> </w:t>
      </w:r>
      <w:r>
        <w:rPr>
          <w:rFonts w:ascii="仿宋_GB2312" w:hAnsi="黑体" w:eastAsia="仿宋_GB2312"/>
          <w:b/>
          <w:sz w:val="32"/>
          <w:szCs w:val="32"/>
        </w:rPr>
        <w:t>部署方式</w:t>
      </w:r>
    </w:p>
    <w:p w14:paraId="41BF1078">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本项目以SaaS形式交付，供应商提供成熟的互联网云服务平台，采购方无需部署服务器及基础软件环境，通过账号授权即可直接使用。</w:t>
      </w:r>
    </w:p>
    <w:p w14:paraId="6C87292C">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5.</w:t>
      </w:r>
      <w:r>
        <w:rPr>
          <w:rFonts w:hint="eastAsia" w:ascii="仿宋_GB2312" w:hAnsi="黑体" w:eastAsia="仿宋_GB2312"/>
          <w:b/>
          <w:sz w:val="32"/>
          <w:szCs w:val="32"/>
        </w:rPr>
        <w:t>2</w:t>
      </w:r>
      <w:r>
        <w:rPr>
          <w:rFonts w:hint="eastAsia"/>
          <w:b/>
        </w:rPr>
        <w:t xml:space="preserve"> </w:t>
      </w:r>
      <w:r>
        <w:rPr>
          <w:rFonts w:ascii="仿宋_GB2312" w:hAnsi="黑体" w:eastAsia="仿宋_GB2312"/>
          <w:b/>
          <w:sz w:val="32"/>
          <w:szCs w:val="32"/>
        </w:rPr>
        <w:t>账号配置</w:t>
      </w:r>
    </w:p>
    <w:p w14:paraId="4E6DA558">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供应商根据采购方实际使用需求，提供不少于10个授权账号（含管理员账号及普通用户账号），管理员有权设置用户身份，授权不同用户访问不同的功能模块。</w:t>
      </w:r>
    </w:p>
    <w:p w14:paraId="6881D77C">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5.3</w:t>
      </w:r>
      <w:r>
        <w:rPr>
          <w:rFonts w:hint="eastAsia" w:ascii="仿宋_GB2312" w:hAnsi="黑体" w:eastAsia="仿宋_GB2312"/>
          <w:b/>
          <w:sz w:val="32"/>
          <w:szCs w:val="32"/>
        </w:rPr>
        <w:t xml:space="preserve"> </w:t>
      </w:r>
      <w:r>
        <w:rPr>
          <w:rFonts w:ascii="仿宋_GB2312" w:hAnsi="黑体" w:eastAsia="仿宋_GB2312"/>
          <w:b/>
          <w:sz w:val="32"/>
          <w:szCs w:val="32"/>
        </w:rPr>
        <w:t>交付周期</w:t>
      </w:r>
    </w:p>
    <w:p w14:paraId="6E6EAA6A">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合同签订后15个工作日内完成平台账号开通、权限配置及系统初始化工作，确保采购方可正常登录使用全部功能模块</w:t>
      </w:r>
      <w:r>
        <w:rPr>
          <w:rFonts w:hint="eastAsia" w:ascii="仿宋_GB2312" w:hAnsi="黑体" w:eastAsia="仿宋_GB2312"/>
          <w:sz w:val="32"/>
          <w:szCs w:val="32"/>
        </w:rPr>
        <w:t>。</w:t>
      </w:r>
    </w:p>
    <w:p w14:paraId="5DB78DA9">
      <w:pPr>
        <w:spacing w:line="560" w:lineRule="exact"/>
        <w:ind w:firstLine="643" w:firstLineChars="200"/>
        <w:rPr>
          <w:rFonts w:ascii="仿宋_GB2312" w:hAnsi="宋体" w:eastAsia="仿宋_GB2312" w:cs="宋体"/>
          <w:b/>
          <w:sz w:val="32"/>
          <w:szCs w:val="32"/>
        </w:rPr>
      </w:pPr>
      <w:r>
        <w:rPr>
          <w:rFonts w:ascii="仿宋_GB2312" w:hAnsi="宋体" w:eastAsia="仿宋_GB2312" w:cs="宋体"/>
          <w:b/>
          <w:sz w:val="32"/>
          <w:szCs w:val="32"/>
        </w:rPr>
        <w:t>6</w:t>
      </w:r>
      <w:r>
        <w:rPr>
          <w:rFonts w:hint="eastAsia" w:ascii="仿宋_GB2312" w:hAnsi="宋体" w:eastAsia="仿宋_GB2312" w:cs="宋体"/>
          <w:b/>
          <w:sz w:val="32"/>
          <w:szCs w:val="32"/>
        </w:rPr>
        <w:t xml:space="preserve"> 培训服务</w:t>
      </w:r>
    </w:p>
    <w:p w14:paraId="411F1930">
      <w:pPr>
        <w:spacing w:line="560" w:lineRule="exact"/>
        <w:ind w:firstLine="643" w:firstLineChars="200"/>
        <w:rPr>
          <w:rFonts w:ascii="仿宋_GB2312" w:hAnsi="宋体" w:eastAsia="仿宋_GB2312"/>
          <w:b/>
          <w:color w:val="000000"/>
          <w:sz w:val="32"/>
          <w:szCs w:val="32"/>
        </w:rPr>
      </w:pPr>
      <w:r>
        <w:rPr>
          <w:rFonts w:ascii="仿宋_GB2312" w:hAnsi="宋体" w:eastAsia="仿宋_GB2312"/>
          <w:b/>
          <w:color w:val="000000"/>
          <w:sz w:val="32"/>
          <w:szCs w:val="32"/>
        </w:rPr>
        <w:t>6.</w:t>
      </w:r>
      <w:r>
        <w:rPr>
          <w:rFonts w:hint="eastAsia" w:ascii="仿宋_GB2312" w:hAnsi="宋体" w:eastAsia="仿宋_GB2312"/>
          <w:b/>
          <w:color w:val="000000"/>
          <w:sz w:val="32"/>
          <w:szCs w:val="32"/>
        </w:rPr>
        <w:t>1 操作视频</w:t>
      </w:r>
    </w:p>
    <w:p w14:paraId="229749F0">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供应商应提供覆盖平台全部功能模块的在线操作视频教程，视频内容应包括但不限于数据检索、信息浏览、AI综述工具使用、语料库管理等核心功能的操作演示。视频应支持在线点播，画质清晰，讲解语言为中文，每段视频时长控制在5分钟以内，便于采购方人员利用碎片化时间自主学习。</w:t>
      </w:r>
    </w:p>
    <w:p w14:paraId="7952A8FC">
      <w:pPr>
        <w:spacing w:line="560" w:lineRule="exact"/>
        <w:ind w:firstLine="643" w:firstLineChars="200"/>
        <w:rPr>
          <w:rFonts w:ascii="仿宋_GB2312" w:hAnsi="宋体" w:eastAsia="仿宋_GB2312"/>
          <w:b/>
          <w:color w:val="000000"/>
          <w:sz w:val="32"/>
          <w:szCs w:val="32"/>
        </w:rPr>
      </w:pPr>
      <w:r>
        <w:rPr>
          <w:rFonts w:ascii="仿宋_GB2312" w:hAnsi="宋体" w:eastAsia="仿宋_GB2312"/>
          <w:b/>
          <w:color w:val="000000"/>
          <w:sz w:val="32"/>
          <w:szCs w:val="32"/>
        </w:rPr>
        <w:t>6.</w:t>
      </w:r>
      <w:r>
        <w:rPr>
          <w:rFonts w:hint="eastAsia" w:ascii="仿宋_GB2312" w:hAnsi="宋体" w:eastAsia="仿宋_GB2312"/>
          <w:b/>
          <w:color w:val="000000"/>
          <w:sz w:val="32"/>
          <w:szCs w:val="32"/>
        </w:rPr>
        <w:t>2 在线帮助网站</w:t>
      </w:r>
    </w:p>
    <w:p w14:paraId="3D500537">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供应商应提供完整的在线帮助文档，内容包含平台使用指南、常见问题解答（FAQ）及功能更新说明。帮助网站应具备全文检索功能，支持按功能模块分类浏览，并持续更新以匹配平台版本升级。</w:t>
      </w:r>
    </w:p>
    <w:p w14:paraId="4FEE3E32">
      <w:pPr>
        <w:spacing w:line="560" w:lineRule="exact"/>
        <w:ind w:firstLine="643" w:firstLineChars="200"/>
        <w:rPr>
          <w:rFonts w:ascii="仿宋_GB2312" w:hAnsi="宋体" w:eastAsia="仿宋_GB2312"/>
          <w:b/>
          <w:color w:val="000000"/>
          <w:sz w:val="32"/>
          <w:szCs w:val="32"/>
        </w:rPr>
      </w:pPr>
      <w:r>
        <w:rPr>
          <w:rFonts w:ascii="仿宋_GB2312" w:hAnsi="宋体" w:eastAsia="仿宋_GB2312"/>
          <w:b/>
          <w:color w:val="000000"/>
          <w:sz w:val="32"/>
          <w:szCs w:val="32"/>
        </w:rPr>
        <w:t>6.</w:t>
      </w:r>
      <w:r>
        <w:rPr>
          <w:rFonts w:hint="eastAsia" w:ascii="仿宋_GB2312" w:hAnsi="宋体" w:eastAsia="仿宋_GB2312"/>
          <w:b/>
          <w:color w:val="000000"/>
          <w:sz w:val="32"/>
          <w:szCs w:val="32"/>
        </w:rPr>
        <w:t>3</w:t>
      </w:r>
      <w:r>
        <w:rPr>
          <w:rFonts w:ascii="仿宋_GB2312" w:hAnsi="宋体" w:eastAsia="仿宋_GB2312"/>
          <w:b/>
          <w:color w:val="000000"/>
          <w:sz w:val="32"/>
          <w:szCs w:val="32"/>
        </w:rPr>
        <w:t xml:space="preserve"> </w:t>
      </w:r>
      <w:r>
        <w:rPr>
          <w:rFonts w:hint="eastAsia" w:ascii="仿宋_GB2312" w:hAnsi="宋体" w:eastAsia="仿宋_GB2312"/>
          <w:b/>
          <w:color w:val="000000"/>
          <w:sz w:val="32"/>
          <w:szCs w:val="32"/>
        </w:rPr>
        <w:t>文档持续更新</w:t>
      </w:r>
    </w:p>
    <w:p w14:paraId="377A3422">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平台功能发生变更或新增功能时，供应商应在15个工作日内更新相应的操作视频及帮助文档，确保培训资源与平台实际功能保持一致。</w:t>
      </w:r>
    </w:p>
    <w:p w14:paraId="1E4F75F1">
      <w:pPr>
        <w:spacing w:line="560" w:lineRule="exact"/>
        <w:ind w:firstLine="643" w:firstLineChars="200"/>
        <w:rPr>
          <w:rFonts w:ascii="仿宋_GB2312" w:hAnsi="宋体" w:eastAsia="仿宋_GB2312"/>
          <w:b/>
          <w:color w:val="000000"/>
          <w:sz w:val="32"/>
          <w:szCs w:val="32"/>
        </w:rPr>
      </w:pPr>
      <w:r>
        <w:rPr>
          <w:rFonts w:ascii="仿宋_GB2312" w:hAnsi="宋体" w:eastAsia="仿宋_GB2312"/>
          <w:b/>
          <w:color w:val="000000"/>
          <w:sz w:val="32"/>
          <w:szCs w:val="32"/>
        </w:rPr>
        <w:t>6.</w:t>
      </w:r>
      <w:r>
        <w:rPr>
          <w:rFonts w:hint="eastAsia" w:ascii="仿宋_GB2312" w:hAnsi="宋体" w:eastAsia="仿宋_GB2312"/>
          <w:b/>
          <w:color w:val="000000"/>
          <w:sz w:val="32"/>
          <w:szCs w:val="32"/>
        </w:rPr>
        <w:t>4 技术支持渠道</w:t>
      </w:r>
    </w:p>
    <w:p w14:paraId="2CA74126">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除自助学习资源外，供应商应提供在线工单、电子邮件或即时通讯等技术支持渠道，采购方人员在自学后仍有疑问的，可通过上述渠道获得人工答疑，响应时间参照本章”技术支持与运维“保障执行。</w:t>
      </w:r>
    </w:p>
    <w:p w14:paraId="16F9FAE5">
      <w:pPr>
        <w:spacing w:line="560" w:lineRule="exact"/>
        <w:ind w:firstLine="643" w:firstLineChars="200"/>
        <w:rPr>
          <w:rFonts w:ascii="仿宋_GB2312" w:hAnsi="宋体" w:eastAsia="仿宋_GB2312"/>
          <w:b/>
          <w:color w:val="000000"/>
          <w:sz w:val="32"/>
          <w:szCs w:val="32"/>
        </w:rPr>
      </w:pPr>
      <w:r>
        <w:rPr>
          <w:rFonts w:hint="eastAsia" w:ascii="仿宋_GB2312" w:hAnsi="宋体" w:eastAsia="仿宋_GB2312"/>
          <w:b/>
          <w:color w:val="000000"/>
          <w:sz w:val="32"/>
          <w:szCs w:val="32"/>
        </w:rPr>
        <w:t xml:space="preserve">7. </w:t>
      </w:r>
      <w:r>
        <w:rPr>
          <w:rFonts w:hint="eastAsia" w:ascii="仿宋_GB2312" w:hAnsi="黑体" w:eastAsia="仿宋_GB2312"/>
          <w:b/>
          <w:sz w:val="32"/>
          <w:szCs w:val="32"/>
        </w:rPr>
        <w:t>技术支持与运维保障</w:t>
      </w:r>
    </w:p>
    <w:p w14:paraId="59E70D15">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7.</w:t>
      </w:r>
      <w:r>
        <w:rPr>
          <w:rFonts w:hint="eastAsia" w:ascii="仿宋_GB2312" w:hAnsi="黑体" w:eastAsia="仿宋_GB2312"/>
          <w:b/>
          <w:sz w:val="32"/>
          <w:szCs w:val="32"/>
        </w:rPr>
        <w:t>1 服务响应</w:t>
      </w:r>
    </w:p>
    <w:p w14:paraId="273A8011">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供应商应提供7×8小时不间断技术支持服务。系统出现一般性故障时，供应商应在24小时内响应；出现严重影响使用的重大故障时，应在2小时内响应并启动应急处理。</w:t>
      </w:r>
    </w:p>
    <w:p w14:paraId="1D61CA25">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7.</w:t>
      </w:r>
      <w:r>
        <w:rPr>
          <w:rFonts w:hint="eastAsia" w:ascii="仿宋_GB2312" w:hAnsi="黑体" w:eastAsia="仿宋_GB2312"/>
          <w:b/>
          <w:sz w:val="32"/>
          <w:szCs w:val="32"/>
        </w:rPr>
        <w:t>2 系统可用性</w:t>
      </w:r>
    </w:p>
    <w:p w14:paraId="70679AC3">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供应商应保证平台平均无故障时间大于1000小时；平均维护时间不超过4小时；，因供应商原因导致的计划内维护停机应提前1个工作日通知采购方，并安排在非工作时段进行。</w:t>
      </w:r>
    </w:p>
    <w:p w14:paraId="29650626">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7.</w:t>
      </w:r>
      <w:r>
        <w:rPr>
          <w:rFonts w:hint="eastAsia" w:ascii="仿宋_GB2312" w:hAnsi="黑体" w:eastAsia="仿宋_GB2312"/>
          <w:b/>
          <w:sz w:val="32"/>
          <w:szCs w:val="32"/>
        </w:rPr>
        <w:t>3</w:t>
      </w:r>
      <w:r>
        <w:rPr>
          <w:rFonts w:ascii="仿宋_GB2312" w:hAnsi="黑体" w:eastAsia="仿宋_GB2312"/>
          <w:b/>
          <w:sz w:val="32"/>
          <w:szCs w:val="32"/>
        </w:rPr>
        <w:t xml:space="preserve"> </w:t>
      </w:r>
      <w:r>
        <w:rPr>
          <w:rFonts w:hint="eastAsia" w:ascii="仿宋_GB2312" w:hAnsi="黑体" w:eastAsia="仿宋_GB2312"/>
          <w:b/>
          <w:sz w:val="32"/>
          <w:szCs w:val="32"/>
        </w:rPr>
        <w:t>数据备份</w:t>
      </w:r>
    </w:p>
    <w:p w14:paraId="5ED2CDCB">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供应商应建立完善的数据备份机制，对采购方在平台内产生的所有数据进行定期备份，确保在发生系统故障或数据损坏时能够及时恢复，数据丢失不超过24小时。</w:t>
      </w:r>
    </w:p>
    <w:p w14:paraId="10CE0EE9">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7.</w:t>
      </w:r>
      <w:r>
        <w:rPr>
          <w:rFonts w:hint="eastAsia" w:ascii="仿宋_GB2312" w:hAnsi="黑体" w:eastAsia="仿宋_GB2312"/>
          <w:b/>
          <w:sz w:val="32"/>
          <w:szCs w:val="32"/>
        </w:rPr>
        <w:t>4 版本升级</w:t>
      </w:r>
    </w:p>
    <w:p w14:paraId="0AF1002B">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供应商应持续对平台进行功能优化和安全加固，在不增加采购方额外费用的前提下，提供同版本范围内的功能更新与升级服务。重大版本升级应提前通知采购方，并确保升级过程中数据完整、业务不中断。</w:t>
      </w:r>
    </w:p>
    <w:p w14:paraId="6850BE32">
      <w:pPr>
        <w:adjustRightInd w:val="0"/>
        <w:snapToGrid w:val="0"/>
        <w:spacing w:line="560" w:lineRule="exact"/>
        <w:ind w:firstLine="643" w:firstLineChars="200"/>
        <w:rPr>
          <w:rFonts w:ascii="仿宋_GB2312" w:hAnsi="黑体" w:eastAsia="仿宋_GB2312"/>
          <w:b/>
          <w:sz w:val="32"/>
          <w:szCs w:val="32"/>
        </w:rPr>
      </w:pPr>
      <w:r>
        <w:rPr>
          <w:rFonts w:hint="eastAsia" w:ascii="仿宋_GB2312" w:hAnsi="黑体" w:eastAsia="仿宋_GB2312"/>
          <w:b/>
          <w:sz w:val="32"/>
          <w:szCs w:val="32"/>
        </w:rPr>
        <w:t>8. 数据安全</w:t>
      </w:r>
    </w:p>
    <w:p w14:paraId="32E39326">
      <w:pPr>
        <w:adjustRightInd w:val="0"/>
        <w:snapToGrid w:val="0"/>
        <w:spacing w:line="560" w:lineRule="exact"/>
        <w:ind w:firstLine="643" w:firstLineChars="200"/>
        <w:rPr>
          <w:rFonts w:ascii="仿宋_GB2312" w:hAnsi="黑体" w:eastAsia="仿宋_GB2312"/>
          <w:b/>
          <w:sz w:val="32"/>
          <w:szCs w:val="32"/>
        </w:rPr>
      </w:pPr>
      <w:r>
        <w:rPr>
          <w:rFonts w:hint="eastAsia" w:ascii="仿宋_GB2312" w:hAnsi="黑体" w:eastAsia="仿宋_GB2312"/>
          <w:b/>
          <w:sz w:val="32"/>
          <w:szCs w:val="32"/>
        </w:rPr>
        <w:t>8.1数据权益划分与导出范围</w:t>
      </w:r>
    </w:p>
    <w:p w14:paraId="3D11A4CC">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平台采集的原始公开信息数据、经AI自动加工生成的数据分析产物，其知识产权及相关权益归供应商所有</w:t>
      </w:r>
      <w:r>
        <w:rPr>
          <w:rFonts w:ascii="仿宋_GB2312" w:hAnsi="黑体" w:eastAsia="仿宋_GB2312"/>
          <w:sz w:val="32"/>
          <w:szCs w:val="32"/>
        </w:rPr>
        <w:t>。采购方利用本平台功能自主撰写或生成的AI资政报告、综述文档、研究课题成果等由采购方原创生成的内容，其知识产权归采购方所有。采购方对其在使用过程中存储的研究课题、收藏的语料、人工修正的标注结果以及自主生成的报告，享有完整的使用权和导出权。</w:t>
      </w:r>
    </w:p>
    <w:p w14:paraId="6709ECD6">
      <w:pPr>
        <w:adjustRightInd w:val="0"/>
        <w:snapToGrid w:val="0"/>
        <w:spacing w:line="560" w:lineRule="exact"/>
        <w:ind w:firstLine="643" w:firstLineChars="200"/>
        <w:rPr>
          <w:rFonts w:ascii="仿宋_GB2312" w:hAnsi="黑体" w:eastAsia="仿宋_GB2312"/>
          <w:b/>
          <w:sz w:val="32"/>
          <w:szCs w:val="32"/>
        </w:rPr>
      </w:pPr>
      <w:r>
        <w:rPr>
          <w:rFonts w:hint="eastAsia" w:ascii="仿宋_GB2312" w:hAnsi="黑体" w:eastAsia="仿宋_GB2312"/>
          <w:b/>
          <w:sz w:val="32"/>
          <w:szCs w:val="32"/>
        </w:rPr>
        <w:t>9</w:t>
      </w:r>
      <w:r>
        <w:rPr>
          <w:rFonts w:ascii="仿宋_GB2312" w:hAnsi="黑体" w:eastAsia="仿宋_GB2312"/>
          <w:b/>
          <w:sz w:val="32"/>
          <w:szCs w:val="32"/>
        </w:rPr>
        <w:t>.</w:t>
      </w:r>
      <w:r>
        <w:rPr>
          <w:rFonts w:hint="eastAsia" w:ascii="仿宋_GB2312" w:hAnsi="黑体" w:eastAsia="仿宋_GB2312"/>
          <w:b/>
          <w:sz w:val="32"/>
          <w:szCs w:val="32"/>
        </w:rPr>
        <w:t>服务订阅与持续支持</w:t>
      </w:r>
    </w:p>
    <w:p w14:paraId="58AA7613">
      <w:pPr>
        <w:adjustRightInd w:val="0"/>
        <w:snapToGrid w:val="0"/>
        <w:spacing w:line="560" w:lineRule="exact"/>
        <w:ind w:firstLine="643" w:firstLineChars="200"/>
        <w:rPr>
          <w:rFonts w:ascii="仿宋_GB2312" w:hAnsi="黑体" w:eastAsia="仿宋_GB2312"/>
          <w:sz w:val="32"/>
          <w:szCs w:val="32"/>
        </w:rPr>
      </w:pPr>
      <w:r>
        <w:rPr>
          <w:rFonts w:ascii="仿宋_GB2312" w:hAnsi="黑体" w:eastAsia="仿宋_GB2312"/>
          <w:b/>
          <w:sz w:val="32"/>
          <w:szCs w:val="32"/>
        </w:rPr>
        <w:t>9.</w:t>
      </w:r>
      <w:r>
        <w:rPr>
          <w:rFonts w:hint="eastAsia" w:ascii="仿宋_GB2312" w:hAnsi="黑体" w:eastAsia="仿宋_GB2312"/>
          <w:b/>
          <w:sz w:val="32"/>
          <w:szCs w:val="32"/>
        </w:rPr>
        <w:t>1 订阅服务期</w:t>
      </w:r>
    </w:p>
    <w:p w14:paraId="4F34D634">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两年。</w:t>
      </w:r>
    </w:p>
    <w:p w14:paraId="5CBD2A63">
      <w:pPr>
        <w:adjustRightInd w:val="0"/>
        <w:snapToGrid w:val="0"/>
        <w:spacing w:line="560" w:lineRule="exact"/>
        <w:ind w:firstLine="643" w:firstLineChars="200"/>
        <w:rPr>
          <w:rFonts w:ascii="仿宋_GB2312" w:hAnsi="黑体" w:eastAsia="仿宋_GB2312"/>
          <w:sz w:val="32"/>
          <w:szCs w:val="32"/>
        </w:rPr>
      </w:pPr>
      <w:r>
        <w:rPr>
          <w:rFonts w:ascii="仿宋_GB2312" w:hAnsi="黑体" w:eastAsia="仿宋_GB2312"/>
          <w:b/>
          <w:sz w:val="32"/>
          <w:szCs w:val="32"/>
        </w:rPr>
        <w:t>9.</w:t>
      </w:r>
      <w:r>
        <w:rPr>
          <w:rFonts w:hint="eastAsia" w:ascii="仿宋_GB2312" w:hAnsi="黑体" w:eastAsia="仿宋_GB2312"/>
          <w:b/>
          <w:sz w:val="32"/>
          <w:szCs w:val="32"/>
        </w:rPr>
        <w:t>2 订阅模式</w:t>
      </w:r>
    </w:p>
    <w:p w14:paraId="46642A09">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本项目平台服务采用按两年付费的订阅模式。采购方在订阅期内享有平台全部功能模块的使用权，以及供应商提供的技术支持、系统维护、版本升级和数据安全保障服务。</w:t>
      </w:r>
    </w:p>
    <w:p w14:paraId="66E7E073">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9.</w:t>
      </w:r>
      <w:r>
        <w:rPr>
          <w:rFonts w:hint="eastAsia" w:ascii="仿宋_GB2312" w:hAnsi="黑体" w:eastAsia="仿宋_GB2312"/>
          <w:b/>
          <w:sz w:val="32"/>
          <w:szCs w:val="32"/>
        </w:rPr>
        <w:t>3 服务续费</w:t>
      </w:r>
    </w:p>
    <w:p w14:paraId="3AC7F54A">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订阅期满前，供应商应提前30个工作日书面通知采购方续费事宜。若采购方决定续费，双方另行签订续费协议，服务内容及费用标准可参照原合同或另行协商；若采购方不再续费，在订阅到期后终止账号访问权限。</w:t>
      </w:r>
    </w:p>
    <w:p w14:paraId="292B36A8">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9.</w:t>
      </w:r>
      <w:r>
        <w:rPr>
          <w:rFonts w:hint="eastAsia" w:ascii="仿宋_GB2312" w:hAnsi="黑体" w:eastAsia="仿宋_GB2312"/>
          <w:b/>
          <w:sz w:val="32"/>
          <w:szCs w:val="32"/>
        </w:rPr>
        <w:t>4 订阅期内服务保障</w:t>
      </w:r>
    </w:p>
    <w:p w14:paraId="25844F4E">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系统可用性，故障响应与修复时限符合本章“技术支持与运维保障”约定；定期安全加固与漏洞修复；对采集源、解析模型、AI模型等底层能力的持续维护与迭代（不额外收费）。</w:t>
      </w:r>
    </w:p>
    <w:p w14:paraId="0D78C451">
      <w:pPr>
        <w:adjustRightInd w:val="0"/>
        <w:snapToGrid w:val="0"/>
        <w:spacing w:line="560" w:lineRule="exact"/>
        <w:ind w:firstLine="643" w:firstLineChars="200"/>
        <w:rPr>
          <w:rFonts w:ascii="仿宋_GB2312" w:hAnsi="黑体" w:eastAsia="仿宋_GB2312"/>
          <w:b/>
          <w:sz w:val="32"/>
          <w:szCs w:val="32"/>
        </w:rPr>
      </w:pPr>
      <w:r>
        <w:rPr>
          <w:rFonts w:ascii="仿宋_GB2312" w:hAnsi="黑体" w:eastAsia="仿宋_GB2312"/>
          <w:b/>
          <w:sz w:val="32"/>
          <w:szCs w:val="32"/>
        </w:rPr>
        <w:t>9.</w:t>
      </w:r>
      <w:r>
        <w:rPr>
          <w:rFonts w:hint="eastAsia" w:ascii="仿宋_GB2312" w:hAnsi="黑体" w:eastAsia="仿宋_GB2312"/>
          <w:b/>
          <w:sz w:val="32"/>
          <w:szCs w:val="32"/>
        </w:rPr>
        <w:t>5 订阅终止与数据迁移</w:t>
      </w:r>
    </w:p>
    <w:p w14:paraId="58A3BB43">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若因任何原因导致订阅终止（包括但不限于合同到期不续费、提前终止等），供应商应在终止之日起_10_个工作日内，根据采购方要求将采购方享有权益的数据以通用格式（如JSON、CSV、Word或PDF等）进行交付。可导出的数据范围明确为：采购方自主生成的研究报告、创建的研究课题与语料库。供应商应在迁移完成后15个工作日内删除平台中采购方的上述数据，但法律法规另有要求或双方另有约定的除外。</w:t>
      </w:r>
    </w:p>
    <w:p w14:paraId="7AE0882A">
      <w:pPr>
        <w:adjustRightInd w:val="0"/>
        <w:snapToGrid w:val="0"/>
        <w:spacing w:line="560" w:lineRule="exact"/>
        <w:ind w:firstLine="643" w:firstLineChars="200"/>
        <w:rPr>
          <w:rFonts w:ascii="仿宋_GB2312" w:hAnsi="黑体" w:eastAsia="仿宋_GB2312"/>
          <w:b/>
          <w:sz w:val="32"/>
          <w:szCs w:val="32"/>
        </w:rPr>
      </w:pPr>
      <w:r>
        <w:rPr>
          <w:rFonts w:hint="eastAsia" w:ascii="仿宋_GB2312" w:hAnsi="黑体" w:eastAsia="仿宋_GB2312"/>
          <w:b/>
          <w:sz w:val="32"/>
          <w:szCs w:val="32"/>
        </w:rPr>
        <w:t>10.报价要求</w:t>
      </w:r>
    </w:p>
    <w:p w14:paraId="7FBDC4BF">
      <w:pPr>
        <w:adjustRightInd w:val="0"/>
        <w:snapToGrid w:val="0"/>
        <w:spacing w:line="560" w:lineRule="exact"/>
        <w:ind w:firstLine="640" w:firstLineChars="200"/>
        <w:rPr>
          <w:rFonts w:ascii="仿宋_GB2312" w:hAnsi="黑体" w:eastAsia="仿宋_GB2312"/>
          <w:sz w:val="32"/>
          <w:szCs w:val="32"/>
        </w:rPr>
      </w:pPr>
      <w:r>
        <w:rPr>
          <w:rFonts w:hint="eastAsia" w:ascii="仿宋_GB2312" w:hAnsi="宋体" w:eastAsia="仿宋_GB2312"/>
          <w:sz w:val="32"/>
          <w:szCs w:val="32"/>
        </w:rPr>
        <w:t>本项目服务报价应为两年服务期内整体打包价格，包含产品各类人工、设备、税费、手续费，以及一切技术和服务费等。报价人漏报的费用，视为此项费用已隐含在投标报价中，中标后不得再向采购人收取任何费用。</w:t>
      </w:r>
    </w:p>
    <w:p w14:paraId="709A123F">
      <w:pPr>
        <w:autoSpaceDE w:val="0"/>
        <w:autoSpaceDN w:val="0"/>
        <w:adjustRightInd w:val="0"/>
        <w:spacing w:after="312" w:afterLines="100"/>
        <w:jc w:val="center"/>
        <w:outlineLvl w:val="0"/>
        <w:rPr>
          <w:rFonts w:hint="eastAsia" w:ascii="仿宋_GB2312" w:hAnsi="黑体" w:eastAsia="仿宋_GB2312"/>
          <w:i/>
          <w:sz w:val="32"/>
          <w:szCs w:val="32"/>
          <w:u w:val="single"/>
        </w:rPr>
      </w:pPr>
    </w:p>
    <w:p w14:paraId="32608407">
      <w:pPr>
        <w:autoSpaceDE w:val="0"/>
        <w:autoSpaceDN w:val="0"/>
        <w:adjustRightInd w:val="0"/>
        <w:spacing w:after="312" w:afterLines="100"/>
        <w:jc w:val="center"/>
        <w:outlineLvl w:val="0"/>
        <w:rPr>
          <w:rFonts w:hint="eastAsia" w:ascii="仿宋_GB2312" w:hAnsi="黑体" w:eastAsia="仿宋_GB2312"/>
          <w:i/>
          <w:sz w:val="32"/>
          <w:szCs w:val="32"/>
          <w:u w:val="single"/>
        </w:rPr>
      </w:pPr>
    </w:p>
    <w:p w14:paraId="54C9541C">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t>报价人</w:t>
      </w:r>
      <w:r>
        <w:rPr>
          <w:rFonts w:hint="eastAsia" w:ascii="黑体" w:hAnsi="黑体" w:eastAsia="黑体" w:cs="黑体"/>
          <w:sz w:val="44"/>
          <w:szCs w:val="44"/>
        </w:rPr>
        <w:t>须知</w:t>
      </w:r>
    </w:p>
    <w:p w14:paraId="277A6CB0">
      <w:pPr>
        <w:pStyle w:val="4"/>
        <w:spacing w:line="560" w:lineRule="exact"/>
        <w:rPr>
          <w:rFonts w:ascii="楷体" w:hAnsi="楷体" w:eastAsia="楷体" w:cs="楷体"/>
          <w:bCs/>
          <w:sz w:val="28"/>
          <w:szCs w:val="28"/>
        </w:rPr>
      </w:pPr>
      <w:r>
        <w:rPr>
          <w:rFonts w:hint="eastAsia" w:ascii="楷体" w:hAnsi="楷体" w:eastAsia="楷体" w:cs="楷体"/>
          <w:bCs/>
          <w:sz w:val="28"/>
          <w:szCs w:val="28"/>
        </w:rPr>
        <w:t>报价书构成</w:t>
      </w:r>
    </w:p>
    <w:p w14:paraId="179A6BE1">
      <w:pPr>
        <w:pStyle w:val="4"/>
        <w:spacing w:line="560" w:lineRule="exact"/>
        <w:rPr>
          <w:rFonts w:ascii="楷体" w:hAnsi="楷体" w:eastAsia="楷体" w:cs="楷体"/>
          <w:sz w:val="28"/>
          <w:szCs w:val="28"/>
        </w:rPr>
      </w:pPr>
      <w:r>
        <w:rPr>
          <w:rFonts w:hint="eastAsia" w:ascii="楷体" w:hAnsi="楷体" w:eastAsia="楷体" w:cs="楷体"/>
          <w:sz w:val="28"/>
          <w:szCs w:val="28"/>
        </w:rPr>
        <w:t>（一）报价表（附件1）</w:t>
      </w:r>
    </w:p>
    <w:p w14:paraId="6D529043">
      <w:pPr>
        <w:pStyle w:val="4"/>
        <w:spacing w:line="560" w:lineRule="exact"/>
        <w:rPr>
          <w:rFonts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099AA30C">
      <w:pPr>
        <w:pStyle w:val="4"/>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1.营业执照（复印件加盖公章）</w:t>
      </w:r>
    </w:p>
    <w:p w14:paraId="7CDB7630">
      <w:pPr>
        <w:pStyle w:val="4"/>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2.法定代表人资格证明书（附件2）</w:t>
      </w:r>
    </w:p>
    <w:p w14:paraId="07F39D64">
      <w:pPr>
        <w:pStyle w:val="4"/>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3.法定代表人授权书（附件3）</w:t>
      </w:r>
    </w:p>
    <w:p w14:paraId="45273257">
      <w:pPr>
        <w:pStyle w:val="4"/>
        <w:spacing w:line="560" w:lineRule="exact"/>
        <w:rPr>
          <w:rFonts w:ascii="楷体" w:hAnsi="楷体" w:eastAsia="楷体" w:cs="楷体"/>
          <w:sz w:val="28"/>
          <w:szCs w:val="28"/>
        </w:rPr>
      </w:pPr>
      <w:r>
        <w:rPr>
          <w:rFonts w:hint="eastAsia" w:ascii="楷体" w:hAnsi="楷体" w:eastAsia="楷体" w:cs="楷体"/>
          <w:sz w:val="28"/>
          <w:szCs w:val="28"/>
        </w:rPr>
        <w:t>（三）供应商承诺声明（附件4）</w:t>
      </w:r>
    </w:p>
    <w:p w14:paraId="79277E40">
      <w:pPr>
        <w:pStyle w:val="7"/>
        <w:spacing w:line="560" w:lineRule="exact"/>
        <w:ind w:firstLine="576"/>
        <w:rPr>
          <w:rFonts w:hint="default" w:ascii="楷体" w:hAnsi="楷体" w:eastAsia="楷体" w:cs="楷体"/>
          <w:sz w:val="28"/>
          <w:szCs w:val="28"/>
        </w:rPr>
      </w:pPr>
    </w:p>
    <w:p w14:paraId="1C876D50">
      <w:pPr>
        <w:pStyle w:val="7"/>
        <w:spacing w:line="560" w:lineRule="exact"/>
        <w:ind w:firstLine="576"/>
        <w:rPr>
          <w:rFonts w:hint="default" w:ascii="楷体" w:hAnsi="楷体" w:eastAsia="楷体" w:cs="楷体"/>
          <w:sz w:val="28"/>
          <w:szCs w:val="28"/>
        </w:rPr>
      </w:pPr>
    </w:p>
    <w:p w14:paraId="2D9A4A16">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未密封或者在规定时间内未送达我单位的一律拒绝收取。提交材料至少包含以上资料，缺少一项其报价文件作无效处理，所有资料需加盖供应商公章、完善相关签名并密封，未盖公章视为无效报价。</w:t>
      </w:r>
    </w:p>
    <w:p w14:paraId="6C1CF7B7">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报价人须按上述统一格式及顺序向采购机构提供《报价书》，否则可能被视为无效报价。</w:t>
      </w:r>
    </w:p>
    <w:p w14:paraId="3A38378B">
      <w:pPr>
        <w:pStyle w:val="7"/>
        <w:tabs>
          <w:tab w:val="left" w:pos="1875"/>
        </w:tabs>
        <w:ind w:left="0" w:leftChars="0" w:firstLine="0" w:firstLineChars="0"/>
        <w:rPr>
          <w:rFonts w:hint="default" w:hAnsi="微软雅黑"/>
          <w:sz w:val="28"/>
          <w:szCs w:val="28"/>
        </w:rPr>
      </w:pPr>
      <w:r>
        <w:rPr>
          <w:rFonts w:eastAsia="黑体"/>
          <w:sz w:val="28"/>
          <w:szCs w:val="28"/>
        </w:rPr>
        <w:br w:type="page"/>
      </w:r>
      <w:r>
        <w:rPr>
          <w:rFonts w:hAnsi="微软雅黑"/>
          <w:sz w:val="28"/>
          <w:szCs w:val="28"/>
        </w:rPr>
        <w:t>附件1</w:t>
      </w:r>
    </w:p>
    <w:tbl>
      <w:tblPr>
        <w:tblStyle w:val="8"/>
        <w:tblW w:w="0" w:type="auto"/>
        <w:jc w:val="center"/>
        <w:tblLayout w:type="fixed"/>
        <w:tblCellMar>
          <w:top w:w="0" w:type="dxa"/>
          <w:left w:w="108" w:type="dxa"/>
          <w:bottom w:w="0" w:type="dxa"/>
          <w:right w:w="108" w:type="dxa"/>
        </w:tblCellMar>
      </w:tblPr>
      <w:tblGrid>
        <w:gridCol w:w="2050"/>
        <w:gridCol w:w="2710"/>
        <w:gridCol w:w="2292"/>
        <w:gridCol w:w="1908"/>
      </w:tblGrid>
      <w:tr w14:paraId="3DA06185">
        <w:tblPrEx>
          <w:tblCellMar>
            <w:top w:w="0" w:type="dxa"/>
            <w:left w:w="108" w:type="dxa"/>
            <w:bottom w:w="0" w:type="dxa"/>
            <w:right w:w="108" w:type="dxa"/>
          </w:tblCellMar>
        </w:tblPrEx>
        <w:trPr>
          <w:trHeight w:val="936" w:hRule="atLeast"/>
          <w:jc w:val="center"/>
        </w:trPr>
        <w:tc>
          <w:tcPr>
            <w:tcW w:w="8960" w:type="dxa"/>
            <w:gridSpan w:val="4"/>
            <w:vMerge w:val="restart"/>
            <w:tcBorders>
              <w:top w:val="nil"/>
              <w:left w:val="nil"/>
              <w:bottom w:val="double" w:color="000000" w:sz="2" w:space="0"/>
              <w:right w:val="nil"/>
            </w:tcBorders>
            <w:vAlign w:val="center"/>
          </w:tcPr>
          <w:p w14:paraId="63C25DFC">
            <w:pPr>
              <w:widowControl/>
              <w:jc w:val="center"/>
              <w:rPr>
                <w:rFonts w:hint="eastAsia" w:ascii="黑体" w:hAnsi="黑体" w:eastAsia="黑体" w:cs="黑体"/>
                <w:color w:val="000000"/>
                <w:sz w:val="44"/>
                <w:szCs w:val="44"/>
              </w:rPr>
            </w:pPr>
            <w:r>
              <w:rPr>
                <w:rFonts w:hint="eastAsia" w:ascii="黑体" w:hAnsi="黑体" w:eastAsia="黑体" w:cs="黑体"/>
                <w:color w:val="000000"/>
                <w:sz w:val="44"/>
                <w:szCs w:val="44"/>
              </w:rPr>
              <w:t>报价表</w:t>
            </w:r>
          </w:p>
        </w:tc>
      </w:tr>
      <w:tr w14:paraId="693F7C7D">
        <w:tblPrEx>
          <w:tblCellMar>
            <w:top w:w="0" w:type="dxa"/>
            <w:left w:w="108" w:type="dxa"/>
            <w:bottom w:w="0" w:type="dxa"/>
            <w:right w:w="108" w:type="dxa"/>
          </w:tblCellMar>
        </w:tblPrEx>
        <w:trPr>
          <w:trHeight w:val="936" w:hRule="atLeast"/>
          <w:jc w:val="center"/>
        </w:trPr>
        <w:tc>
          <w:tcPr>
            <w:tcW w:w="8960" w:type="dxa"/>
            <w:gridSpan w:val="4"/>
            <w:vMerge w:val="continue"/>
            <w:tcBorders>
              <w:top w:val="nil"/>
              <w:left w:val="nil"/>
              <w:bottom w:val="double" w:color="auto" w:sz="2" w:space="0"/>
              <w:right w:val="nil"/>
            </w:tcBorders>
            <w:vAlign w:val="center"/>
          </w:tcPr>
          <w:p w14:paraId="28EAB904">
            <w:pPr>
              <w:widowControl/>
              <w:jc w:val="left"/>
              <w:rPr>
                <w:rFonts w:ascii="方正小标宋简体" w:hAnsi="宋体" w:eastAsia="方正小标宋简体" w:cs="宋体"/>
                <w:color w:val="000000"/>
                <w:sz w:val="44"/>
                <w:szCs w:val="44"/>
              </w:rPr>
            </w:pPr>
          </w:p>
        </w:tc>
      </w:tr>
      <w:tr w14:paraId="1E6FFEB6">
        <w:tblPrEx>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vAlign w:val="center"/>
          </w:tcPr>
          <w:p w14:paraId="6AB4A00D">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项目名称</w:t>
            </w:r>
          </w:p>
        </w:tc>
        <w:tc>
          <w:tcPr>
            <w:tcW w:w="5002" w:type="dxa"/>
            <w:gridSpan w:val="2"/>
            <w:tcBorders>
              <w:top w:val="double" w:color="auto" w:sz="2" w:space="0"/>
              <w:left w:val="nil"/>
              <w:bottom w:val="double" w:color="auto" w:sz="2" w:space="0"/>
              <w:right w:val="single" w:color="auto" w:sz="4" w:space="0"/>
            </w:tcBorders>
            <w:vAlign w:val="center"/>
          </w:tcPr>
          <w:p w14:paraId="7949F312">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产品（服务）明细</w:t>
            </w:r>
          </w:p>
        </w:tc>
        <w:tc>
          <w:tcPr>
            <w:tcW w:w="1908" w:type="dxa"/>
            <w:tcBorders>
              <w:top w:val="double" w:color="auto" w:sz="2" w:space="0"/>
              <w:left w:val="nil"/>
              <w:bottom w:val="double" w:color="auto" w:sz="2" w:space="0"/>
              <w:right w:val="double" w:color="auto" w:sz="2" w:space="0"/>
            </w:tcBorders>
            <w:vAlign w:val="center"/>
          </w:tcPr>
          <w:p w14:paraId="38F598B6">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w:t>
            </w:r>
          </w:p>
        </w:tc>
      </w:tr>
      <w:tr w14:paraId="41B59076">
        <w:tblPrEx>
          <w:tblCellMar>
            <w:top w:w="0" w:type="dxa"/>
            <w:left w:w="108" w:type="dxa"/>
            <w:bottom w:w="0" w:type="dxa"/>
            <w:right w:w="108" w:type="dxa"/>
          </w:tblCellMar>
        </w:tblPrEx>
        <w:trPr>
          <w:trHeight w:val="2952" w:hRule="atLeast"/>
          <w:jc w:val="center"/>
        </w:trPr>
        <w:tc>
          <w:tcPr>
            <w:tcW w:w="2050" w:type="dxa"/>
            <w:tcBorders>
              <w:top w:val="double" w:color="auto" w:sz="2" w:space="0"/>
              <w:left w:val="double" w:color="auto" w:sz="2" w:space="0"/>
              <w:bottom w:val="single" w:color="auto" w:sz="4" w:space="0"/>
              <w:right w:val="single" w:color="auto" w:sz="4" w:space="0"/>
            </w:tcBorders>
            <w:vAlign w:val="center"/>
          </w:tcPr>
          <w:p w14:paraId="34819C21">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智能大数据系统</w:t>
            </w:r>
          </w:p>
        </w:tc>
        <w:tc>
          <w:tcPr>
            <w:tcW w:w="5002" w:type="dxa"/>
            <w:gridSpan w:val="2"/>
            <w:tcBorders>
              <w:top w:val="double" w:color="auto" w:sz="2" w:space="0"/>
              <w:left w:val="nil"/>
              <w:bottom w:val="single" w:color="auto" w:sz="4" w:space="0"/>
              <w:right w:val="single" w:color="auto" w:sz="4" w:space="0"/>
            </w:tcBorders>
            <w:vAlign w:val="center"/>
          </w:tcPr>
          <w:p w14:paraId="349BD519">
            <w:pPr>
              <w:pStyle w:val="6"/>
              <w:spacing w:beforeAutospacing="0" w:afterAutospacing="0" w:line="440" w:lineRule="exact"/>
              <w:ind w:firstLine="300" w:firstLineChars="100"/>
              <w:jc w:val="both"/>
              <w:rPr>
                <w:rFonts w:ascii="仿宋_GB2312" w:hAnsi="仿宋_GB2312" w:eastAsia="仿宋_GB2312" w:cs="仿宋_GB2312"/>
                <w:sz w:val="30"/>
                <w:szCs w:val="30"/>
              </w:rPr>
            </w:pPr>
            <w:r>
              <w:rPr>
                <w:rFonts w:hint="eastAsia" w:ascii="仿宋_GB2312" w:hAnsi="仿宋_GB2312" w:eastAsia="仿宋_GB2312" w:cs="仿宋_GB2312"/>
                <w:color w:val="000000"/>
                <w:kern w:val="2"/>
                <w:sz w:val="30"/>
                <w:szCs w:val="30"/>
              </w:rPr>
              <w:t>本公司承诺完全响应本项目所有要求。</w:t>
            </w:r>
          </w:p>
        </w:tc>
        <w:tc>
          <w:tcPr>
            <w:tcW w:w="1908" w:type="dxa"/>
            <w:tcBorders>
              <w:top w:val="double" w:color="auto" w:sz="2" w:space="0"/>
              <w:left w:val="nil"/>
              <w:bottom w:val="single" w:color="auto" w:sz="4" w:space="0"/>
              <w:right w:val="double" w:color="auto" w:sz="2" w:space="0"/>
            </w:tcBorders>
            <w:vAlign w:val="center"/>
          </w:tcPr>
          <w:p w14:paraId="37C82A3E">
            <w:pPr>
              <w:jc w:val="left"/>
              <w:rPr>
                <w:rFonts w:ascii="仿宋_GB2312" w:hAnsi="仿宋_GB2312" w:eastAsia="仿宋_GB2312" w:cs="仿宋_GB2312"/>
                <w:color w:val="000000"/>
                <w:sz w:val="30"/>
                <w:szCs w:val="30"/>
              </w:rPr>
            </w:pPr>
          </w:p>
        </w:tc>
      </w:tr>
      <w:tr w14:paraId="2A9F29FC">
        <w:tblPrEx>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2860102A">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报价时间</w:t>
            </w:r>
          </w:p>
        </w:tc>
        <w:tc>
          <w:tcPr>
            <w:tcW w:w="6910" w:type="dxa"/>
            <w:gridSpan w:val="3"/>
            <w:tcBorders>
              <w:top w:val="single" w:color="auto" w:sz="4" w:space="0"/>
              <w:left w:val="nil"/>
              <w:bottom w:val="single" w:color="auto" w:sz="4" w:space="0"/>
              <w:right w:val="double" w:color="auto" w:sz="2" w:space="0"/>
            </w:tcBorders>
            <w:vAlign w:val="center"/>
          </w:tcPr>
          <w:p w14:paraId="5428D599">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202</w:t>
            </w:r>
            <w:r>
              <w:rPr>
                <w:rFonts w:ascii="仿宋_GB2312" w:hAnsi="宋体" w:eastAsia="仿宋_GB2312" w:cs="宋体"/>
                <w:color w:val="000000"/>
                <w:sz w:val="32"/>
                <w:szCs w:val="32"/>
              </w:rPr>
              <w:t>6</w:t>
            </w:r>
            <w:r>
              <w:rPr>
                <w:rFonts w:hint="eastAsia" w:ascii="仿宋_GB2312" w:hAnsi="宋体" w:eastAsia="仿宋_GB2312" w:cs="宋体"/>
                <w:color w:val="000000"/>
                <w:sz w:val="32"/>
                <w:szCs w:val="32"/>
              </w:rPr>
              <w:t>年  月  日    时  分</w:t>
            </w:r>
          </w:p>
        </w:tc>
      </w:tr>
      <w:tr w14:paraId="268C21AC">
        <w:tblPrEx>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1C302C3B">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报价地点</w:t>
            </w:r>
          </w:p>
        </w:tc>
        <w:tc>
          <w:tcPr>
            <w:tcW w:w="6910" w:type="dxa"/>
            <w:gridSpan w:val="3"/>
            <w:tcBorders>
              <w:top w:val="single" w:color="auto" w:sz="4" w:space="0"/>
              <w:left w:val="nil"/>
              <w:bottom w:val="single" w:color="auto" w:sz="4" w:space="0"/>
              <w:right w:val="double" w:color="auto" w:sz="2" w:space="0"/>
            </w:tcBorders>
            <w:vAlign w:val="center"/>
          </w:tcPr>
          <w:p w14:paraId="20E849E9">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以采购方通知为准</w:t>
            </w:r>
          </w:p>
        </w:tc>
      </w:tr>
      <w:tr w14:paraId="7AF46D73">
        <w:tblPrEx>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208C8E2D">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报价方式</w:t>
            </w:r>
          </w:p>
        </w:tc>
        <w:tc>
          <w:tcPr>
            <w:tcW w:w="6910" w:type="dxa"/>
            <w:gridSpan w:val="3"/>
            <w:tcBorders>
              <w:top w:val="single" w:color="auto" w:sz="4" w:space="0"/>
              <w:left w:val="nil"/>
              <w:bottom w:val="single" w:color="auto" w:sz="4" w:space="0"/>
              <w:right w:val="double" w:color="auto" w:sz="2" w:space="0"/>
            </w:tcBorders>
            <w:vAlign w:val="center"/>
          </w:tcPr>
          <w:p w14:paraId="12871A98">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邮寄/现场递交</w:t>
            </w:r>
          </w:p>
        </w:tc>
      </w:tr>
      <w:tr w14:paraId="13843B27">
        <w:tblPrEx>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vAlign w:val="center"/>
          </w:tcPr>
          <w:p w14:paraId="495DD64C">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报价人</w:t>
            </w:r>
          </w:p>
        </w:tc>
        <w:tc>
          <w:tcPr>
            <w:tcW w:w="2710" w:type="dxa"/>
            <w:vMerge w:val="restart"/>
            <w:tcBorders>
              <w:top w:val="nil"/>
              <w:left w:val="nil"/>
              <w:bottom w:val="single" w:color="auto" w:sz="4" w:space="0"/>
              <w:right w:val="single" w:color="auto" w:sz="4" w:space="0"/>
            </w:tcBorders>
            <w:vAlign w:val="center"/>
          </w:tcPr>
          <w:p w14:paraId="0D27E0F5">
            <w:pPr>
              <w:widowControl/>
              <w:rPr>
                <w:rFonts w:ascii="仿宋_GB2312" w:hAnsi="宋体" w:eastAsia="仿宋_GB2312" w:cs="宋体"/>
                <w:color w:val="000000"/>
                <w:sz w:val="32"/>
                <w:szCs w:val="32"/>
              </w:rPr>
            </w:pPr>
          </w:p>
        </w:tc>
        <w:tc>
          <w:tcPr>
            <w:tcW w:w="4200" w:type="dxa"/>
            <w:gridSpan w:val="2"/>
            <w:vMerge w:val="restart"/>
            <w:tcBorders>
              <w:top w:val="single" w:color="auto" w:sz="4" w:space="0"/>
              <w:left w:val="nil"/>
              <w:bottom w:val="single" w:color="auto" w:sz="4" w:space="0"/>
              <w:right w:val="double" w:color="auto" w:sz="2" w:space="0"/>
            </w:tcBorders>
            <w:vAlign w:val="center"/>
          </w:tcPr>
          <w:p w14:paraId="1BA456D6">
            <w:pPr>
              <w:widowControl/>
              <w:rPr>
                <w:rFonts w:ascii="宋体" w:hAnsi="宋体"/>
                <w:color w:val="000000"/>
                <w:sz w:val="36"/>
                <w:szCs w:val="36"/>
              </w:rPr>
            </w:pPr>
            <w:r>
              <w:rPr>
                <w:rFonts w:hint="eastAsia" w:ascii="黑体" w:hAnsi="黑体" w:eastAsia="黑体" w:cs="宋体"/>
                <w:color w:val="000000"/>
                <w:sz w:val="32"/>
                <w:szCs w:val="32"/>
              </w:rPr>
              <w:t>联系电话：</w:t>
            </w:r>
          </w:p>
        </w:tc>
      </w:tr>
      <w:tr w14:paraId="3F15E6C9">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vAlign w:val="center"/>
          </w:tcPr>
          <w:p w14:paraId="00994335">
            <w:pPr>
              <w:widowControl/>
              <w:jc w:val="left"/>
              <w:rPr>
                <w:rFonts w:ascii="黑体" w:hAnsi="黑体" w:eastAsia="黑体" w:cs="宋体"/>
                <w:color w:val="000000"/>
                <w:sz w:val="32"/>
                <w:szCs w:val="32"/>
              </w:rPr>
            </w:pPr>
          </w:p>
        </w:tc>
        <w:tc>
          <w:tcPr>
            <w:tcW w:w="2710" w:type="dxa"/>
            <w:vMerge w:val="continue"/>
            <w:tcBorders>
              <w:top w:val="nil"/>
              <w:left w:val="nil"/>
              <w:bottom w:val="single" w:color="auto" w:sz="4" w:space="0"/>
              <w:right w:val="single" w:color="auto" w:sz="4" w:space="0"/>
            </w:tcBorders>
            <w:vAlign w:val="center"/>
          </w:tcPr>
          <w:p w14:paraId="6D28F8A3">
            <w:pPr>
              <w:widowControl/>
              <w:jc w:val="left"/>
              <w:rPr>
                <w:rFonts w:ascii="宋体" w:hAnsi="宋体"/>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vAlign w:val="center"/>
          </w:tcPr>
          <w:p w14:paraId="4BF1FE27">
            <w:pPr>
              <w:widowControl/>
              <w:jc w:val="left"/>
              <w:rPr>
                <w:rFonts w:ascii="宋体" w:hAnsi="宋体"/>
                <w:color w:val="000000"/>
                <w:sz w:val="36"/>
                <w:szCs w:val="36"/>
              </w:rPr>
            </w:pPr>
          </w:p>
        </w:tc>
      </w:tr>
      <w:tr w14:paraId="021578E1">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vAlign w:val="center"/>
          </w:tcPr>
          <w:p w14:paraId="154E77BA">
            <w:pPr>
              <w:widowControl/>
              <w:jc w:val="left"/>
              <w:rPr>
                <w:rFonts w:ascii="黑体" w:hAnsi="黑体" w:eastAsia="黑体" w:cs="宋体"/>
                <w:color w:val="000000"/>
                <w:sz w:val="32"/>
                <w:szCs w:val="32"/>
              </w:rPr>
            </w:pPr>
          </w:p>
        </w:tc>
        <w:tc>
          <w:tcPr>
            <w:tcW w:w="2710" w:type="dxa"/>
            <w:vMerge w:val="continue"/>
            <w:tcBorders>
              <w:top w:val="nil"/>
              <w:left w:val="nil"/>
              <w:bottom w:val="single" w:color="auto" w:sz="4" w:space="0"/>
              <w:right w:val="single" w:color="auto" w:sz="4" w:space="0"/>
            </w:tcBorders>
            <w:vAlign w:val="center"/>
          </w:tcPr>
          <w:p w14:paraId="62F69C08">
            <w:pPr>
              <w:widowControl/>
              <w:jc w:val="left"/>
              <w:rPr>
                <w:rFonts w:ascii="宋体" w:hAnsi="宋体"/>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vAlign w:val="center"/>
          </w:tcPr>
          <w:p w14:paraId="74CBCD2C">
            <w:pPr>
              <w:widowControl/>
              <w:jc w:val="left"/>
              <w:rPr>
                <w:rFonts w:ascii="宋体" w:hAnsi="宋体"/>
                <w:color w:val="000000"/>
                <w:sz w:val="36"/>
                <w:szCs w:val="36"/>
              </w:rPr>
            </w:pPr>
          </w:p>
        </w:tc>
      </w:tr>
      <w:tr w14:paraId="5CEF8EE4">
        <w:tblPrEx>
          <w:tblCellMar>
            <w:top w:w="0" w:type="dxa"/>
            <w:left w:w="108" w:type="dxa"/>
            <w:bottom w:w="0" w:type="dxa"/>
            <w:right w:w="108" w:type="dxa"/>
          </w:tblCellMar>
        </w:tblPrEx>
        <w:trPr>
          <w:trHeight w:val="1860" w:hRule="atLeast"/>
          <w:jc w:val="center"/>
        </w:trPr>
        <w:tc>
          <w:tcPr>
            <w:tcW w:w="2050" w:type="dxa"/>
            <w:tcBorders>
              <w:top w:val="single" w:color="auto" w:sz="4" w:space="0"/>
              <w:left w:val="double" w:color="auto" w:sz="2" w:space="0"/>
              <w:bottom w:val="double" w:color="auto" w:sz="2" w:space="0"/>
              <w:right w:val="single" w:color="auto" w:sz="4" w:space="0"/>
            </w:tcBorders>
            <w:vAlign w:val="center"/>
          </w:tcPr>
          <w:p w14:paraId="05B42B7F">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报价单位</w:t>
            </w:r>
          </w:p>
        </w:tc>
        <w:tc>
          <w:tcPr>
            <w:tcW w:w="6910" w:type="dxa"/>
            <w:gridSpan w:val="3"/>
            <w:tcBorders>
              <w:top w:val="single" w:color="auto" w:sz="4" w:space="0"/>
              <w:left w:val="nil"/>
              <w:bottom w:val="double" w:color="auto" w:sz="2" w:space="0"/>
              <w:right w:val="double" w:color="auto" w:sz="2" w:space="0"/>
            </w:tcBorders>
            <w:vAlign w:val="center"/>
          </w:tcPr>
          <w:p w14:paraId="673E5814">
            <w:pPr>
              <w:widowControl/>
              <w:jc w:val="left"/>
              <w:rPr>
                <w:rFonts w:ascii="楷体_GB2312" w:hAnsi="宋体" w:eastAsia="楷体_GB2312" w:cs="宋体"/>
                <w:color w:val="000000"/>
                <w:sz w:val="32"/>
                <w:szCs w:val="32"/>
              </w:rPr>
            </w:pPr>
            <w:r>
              <w:rPr>
                <w:rFonts w:hint="eastAsia" w:ascii="楷体_GB2312" w:hAnsi="宋体" w:eastAsia="楷体_GB2312" w:cs="宋体"/>
                <w:color w:val="000000"/>
                <w:sz w:val="32"/>
                <w:szCs w:val="32"/>
              </w:rPr>
              <w:t xml:space="preserve">                              （盖章）</w:t>
            </w:r>
          </w:p>
        </w:tc>
      </w:tr>
    </w:tbl>
    <w:p w14:paraId="55C50D0C">
      <w:pPr>
        <w:pStyle w:val="7"/>
        <w:tabs>
          <w:tab w:val="left" w:pos="1875"/>
        </w:tabs>
        <w:ind w:left="0" w:leftChars="0" w:firstLine="0" w:firstLineChars="0"/>
        <w:rPr>
          <w:rFonts w:hint="default" w:hAnsi="微软雅黑"/>
          <w:sz w:val="28"/>
          <w:szCs w:val="28"/>
        </w:rPr>
      </w:pPr>
      <w:r>
        <w:rPr>
          <w:rFonts w:ascii="微软雅黑" w:hAnsi="微软雅黑" w:eastAsia="微软雅黑"/>
          <w:sz w:val="28"/>
          <w:szCs w:val="28"/>
        </w:rPr>
        <w:t>注：未完全响应的，按无效报价处理。若有正偏离，可在</w:t>
      </w:r>
      <w:r>
        <w:rPr>
          <w:rFonts w:ascii="黑体" w:hAnsi="黑体" w:eastAsia="黑体" w:cs="宋体"/>
          <w:sz w:val="32"/>
          <w:szCs w:val="32"/>
        </w:rPr>
        <w:t>明细栏</w:t>
      </w:r>
      <w:r>
        <w:rPr>
          <w:rFonts w:ascii="微软雅黑" w:hAnsi="微软雅黑" w:eastAsia="微软雅黑"/>
          <w:sz w:val="28"/>
          <w:szCs w:val="28"/>
        </w:rPr>
        <w:t>注明。</w:t>
      </w:r>
      <w:r>
        <w:rPr>
          <w:rFonts w:ascii="微软雅黑" w:hAnsi="微软雅黑" w:eastAsia="微软雅黑"/>
          <w:sz w:val="28"/>
          <w:szCs w:val="28"/>
        </w:rPr>
        <w:br w:type="page"/>
      </w:r>
      <w:r>
        <w:rPr>
          <w:rFonts w:hAnsi="微软雅黑"/>
          <w:sz w:val="28"/>
          <w:szCs w:val="28"/>
        </w:rPr>
        <w:t>附件2</w:t>
      </w:r>
    </w:p>
    <w:p w14:paraId="0EC617E1">
      <w:pPr>
        <w:jc w:val="center"/>
        <w:rPr>
          <w:rFonts w:hint="eastAsia" w:ascii="黑体" w:hAnsi="黑体" w:eastAsia="黑体" w:cs="黑体"/>
          <w:bCs/>
          <w:sz w:val="44"/>
          <w:szCs w:val="44"/>
        </w:rPr>
      </w:pPr>
      <w:r>
        <w:rPr>
          <w:rFonts w:hint="eastAsia" w:ascii="黑体" w:hAnsi="黑体" w:eastAsia="黑体" w:cs="黑体"/>
          <w:bCs/>
          <w:sz w:val="44"/>
          <w:szCs w:val="44"/>
        </w:rPr>
        <w:t>法定代表人资格证明书</w:t>
      </w:r>
    </w:p>
    <w:p w14:paraId="5F94020F">
      <w:pPr>
        <w:jc w:val="center"/>
        <w:rPr>
          <w:rFonts w:eastAsia="华文中宋"/>
          <w:bCs/>
          <w:sz w:val="44"/>
        </w:rPr>
      </w:pPr>
    </w:p>
    <w:p w14:paraId="4887EBDC">
      <w:pPr>
        <w:ind w:firstLine="560" w:firstLineChars="200"/>
        <w:rPr>
          <w:rFonts w:eastAsia="楷体_GB2312"/>
          <w:sz w:val="28"/>
          <w:szCs w:val="28"/>
        </w:rPr>
      </w:pPr>
    </w:p>
    <w:p w14:paraId="16C09E6F">
      <w:pPr>
        <w:ind w:firstLine="560" w:firstLineChars="200"/>
        <w:rPr>
          <w:rFonts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14:paraId="189975EC">
      <w:pPr>
        <w:ind w:firstLine="560" w:firstLineChars="200"/>
        <w:rPr>
          <w:rFonts w:ascii="仿宋_GB2312" w:hAnsi="微软雅黑" w:eastAsia="仿宋_GB2312"/>
          <w:sz w:val="28"/>
          <w:szCs w:val="28"/>
        </w:rPr>
      </w:pPr>
    </w:p>
    <w:p w14:paraId="64AB3980">
      <w:pPr>
        <w:ind w:firstLine="560" w:firstLineChars="200"/>
        <w:rPr>
          <w:rFonts w:ascii="仿宋_GB2312" w:hAnsi="微软雅黑" w:eastAsia="仿宋_GB2312"/>
          <w:sz w:val="28"/>
          <w:szCs w:val="28"/>
        </w:rPr>
      </w:pPr>
      <w:r>
        <w:rPr>
          <w:rFonts w:hint="eastAsia" w:ascii="仿宋_GB2312" w:hAnsi="微软雅黑" w:eastAsia="仿宋_GB2312"/>
          <w:sz w:val="28"/>
          <w:szCs w:val="28"/>
        </w:rPr>
        <w:t>特此证明</w:t>
      </w:r>
    </w:p>
    <w:p w14:paraId="5B0461D6">
      <w:pPr>
        <w:pStyle w:val="7"/>
        <w:ind w:firstLine="436"/>
        <w:rPr>
          <w:rFonts w:hint="default"/>
        </w:rPr>
      </w:pPr>
    </w:p>
    <w:p w14:paraId="3E837A3F">
      <w:pPr>
        <w:pStyle w:val="7"/>
        <w:ind w:firstLine="436"/>
        <w:rPr>
          <w:rFonts w:hint="default"/>
        </w:rPr>
      </w:pPr>
    </w:p>
    <w:p w14:paraId="06ED363E">
      <w:pPr>
        <w:ind w:firstLine="420" w:firstLineChars="200"/>
        <w:rPr>
          <w:rFonts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19" name="文本框 19"/>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6B32DB5D">
                            <w:pPr>
                              <w:jc w:val="center"/>
                              <w:rPr>
                                <w:rFonts w:ascii="宋体"/>
                              </w:rPr>
                            </w:pPr>
                          </w:p>
                          <w:p w14:paraId="0264165A">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5584D587">
                            <w:pPr>
                              <w:jc w:val="center"/>
                              <w:rPr>
                                <w:rFonts w:ascii="微软雅黑" w:hAnsi="微软雅黑" w:eastAsia="微软雅黑"/>
                                <w:sz w:val="28"/>
                                <w:szCs w:val="28"/>
                              </w:rPr>
                            </w:pPr>
                            <w:r>
                              <w:rPr>
                                <w:rFonts w:hint="eastAsia" w:ascii="微软雅黑" w:hAnsi="微软雅黑" w:eastAsia="微软雅黑"/>
                                <w:sz w:val="28"/>
                                <w:szCs w:val="28"/>
                              </w:rPr>
                              <w:t>（国徽面）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8.3pt;margin-top:7.75pt;height:88.65pt;width:176.45pt;z-index:251659264;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erUytUAAAAJAQAADwAAAAAA&#10;AAABACAAAAAiAAAAZHJzL2Rvd25yZXYueG1sUEsBAhQAFAAAAAgAh07iQD756thPAgAApAQAAA4A&#10;AAAAAAAAAQAgAAAAJAEAAGRycy9lMm9Eb2MueG1sUEsFBgAAAAAGAAYAWQEAAOUFAAAAAA==&#10;">
                <v:fill on="t" focussize="0,0"/>
                <v:stroke color="#000000" miterlimit="8" joinstyle="miter" dashstyle="dash"/>
                <v:imagedata o:title=""/>
                <o:lock v:ext="edit" aspectratio="f"/>
                <v:textbox>
                  <w:txbxContent>
                    <w:p w14:paraId="6B32DB5D">
                      <w:pPr>
                        <w:jc w:val="center"/>
                        <w:rPr>
                          <w:rFonts w:ascii="宋体"/>
                        </w:rPr>
                      </w:pPr>
                    </w:p>
                    <w:p w14:paraId="0264165A">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5584D587">
                      <w:pPr>
                        <w:jc w:val="center"/>
                        <w:rPr>
                          <w:rFonts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18"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463C6386">
                            <w:pPr>
                              <w:jc w:val="center"/>
                              <w:rPr>
                                <w:rFonts w:ascii="宋体"/>
                              </w:rPr>
                            </w:pPr>
                          </w:p>
                          <w:p w14:paraId="30246052">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4AFF82F1">
                            <w:pPr>
                              <w:jc w:val="center"/>
                              <w:rPr>
                                <w:rFonts w:ascii="微软雅黑" w:hAnsi="微软雅黑" w:eastAsia="微软雅黑"/>
                                <w:sz w:val="28"/>
                                <w:szCs w:val="28"/>
                              </w:rPr>
                            </w:pPr>
                            <w:r>
                              <w:rPr>
                                <w:rFonts w:hint="eastAsia" w:ascii="微软雅黑" w:hAnsi="微软雅黑" w:eastAsia="微软雅黑"/>
                                <w:sz w:val="28"/>
                                <w:szCs w:val="28"/>
                              </w:rPr>
                              <w:t>（人像面）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3.05pt;margin-top:7.1pt;height:88.65pt;width:176.45pt;z-index:251660288;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i36hNUAAAAKAQAADwAAAAAA&#10;AAABACAAAAAiAAAAZHJzL2Rvd25yZXYueG1sUEsBAhQAFAAAAAgAh07iQB1s8P5PAgAApAQAAA4A&#10;AAAAAAAAAQAgAAAAJAEAAGRycy9lMm9Eb2MueG1sUEsFBgAAAAAGAAYAWQEAAOUFAAAAAA==&#10;">
                <v:fill on="t" focussize="0,0"/>
                <v:stroke color="#000000" miterlimit="8" joinstyle="miter" dashstyle="dash"/>
                <v:imagedata o:title=""/>
                <o:lock v:ext="edit" aspectratio="f"/>
                <v:textbox>
                  <w:txbxContent>
                    <w:p w14:paraId="463C6386">
                      <w:pPr>
                        <w:jc w:val="center"/>
                        <w:rPr>
                          <w:rFonts w:ascii="宋体"/>
                        </w:rPr>
                      </w:pPr>
                    </w:p>
                    <w:p w14:paraId="30246052">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4AFF82F1">
                      <w:pPr>
                        <w:jc w:val="center"/>
                        <w:rPr>
                          <w:rFonts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14:paraId="24D584AD">
      <w:pPr>
        <w:ind w:firstLine="560" w:firstLineChars="200"/>
        <w:rPr>
          <w:rFonts w:ascii="仿宋_GB2312" w:eastAsia="仿宋_GB2312"/>
          <w:sz w:val="28"/>
          <w:szCs w:val="28"/>
        </w:rPr>
      </w:pPr>
    </w:p>
    <w:p w14:paraId="566ABB05">
      <w:pPr>
        <w:rPr>
          <w:rFonts w:ascii="仿宋_GB2312" w:eastAsia="仿宋_GB2312"/>
          <w:sz w:val="28"/>
          <w:szCs w:val="28"/>
        </w:rPr>
      </w:pPr>
    </w:p>
    <w:p w14:paraId="7A78AEBB">
      <w:pPr>
        <w:rPr>
          <w:rFonts w:ascii="仿宋_GB2312" w:eastAsia="仿宋_GB2312"/>
          <w:sz w:val="28"/>
          <w:szCs w:val="28"/>
        </w:rPr>
      </w:pPr>
    </w:p>
    <w:p w14:paraId="7E410391">
      <w:pPr>
        <w:rPr>
          <w:rFonts w:ascii="仿宋_GB2312" w:eastAsia="仿宋_GB2312"/>
          <w:sz w:val="28"/>
          <w:szCs w:val="28"/>
        </w:rPr>
      </w:pPr>
    </w:p>
    <w:p w14:paraId="6B484DC2">
      <w:pPr>
        <w:rPr>
          <w:rFonts w:ascii="仿宋_GB2312" w:eastAsia="仿宋_GB2312"/>
          <w:sz w:val="28"/>
          <w:szCs w:val="28"/>
        </w:rPr>
      </w:pPr>
    </w:p>
    <w:p w14:paraId="65FDA50E">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4B336F7D">
      <w:pPr>
        <w:jc w:val="left"/>
        <w:rPr>
          <w:rFonts w:ascii="仿宋_GB2312" w:hAnsi="微软雅黑" w:eastAsia="仿宋_GB2312"/>
          <w:sz w:val="28"/>
          <w:szCs w:val="28"/>
        </w:rPr>
      </w:pPr>
    </w:p>
    <w:p w14:paraId="382FA0AB">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年    月    日</w:t>
      </w:r>
    </w:p>
    <w:p w14:paraId="33A6EAD3">
      <w:pPr>
        <w:pStyle w:val="7"/>
        <w:tabs>
          <w:tab w:val="left" w:pos="1875"/>
        </w:tabs>
        <w:ind w:left="0" w:leftChars="0" w:firstLine="0" w:firstLineChars="0"/>
        <w:rPr>
          <w:rFonts w:hint="default" w:hAnsi="微软雅黑"/>
          <w:sz w:val="28"/>
          <w:szCs w:val="28"/>
        </w:rPr>
      </w:pPr>
      <w:r>
        <w:rPr>
          <w:rFonts w:hAnsi="微软雅黑"/>
          <w:sz w:val="28"/>
          <w:szCs w:val="28"/>
        </w:rPr>
        <w:br w:type="page"/>
      </w:r>
      <w:r>
        <w:rPr>
          <w:rFonts w:hAnsi="微软雅黑"/>
          <w:sz w:val="28"/>
          <w:szCs w:val="28"/>
        </w:rPr>
        <w:t>附件3</w:t>
      </w:r>
    </w:p>
    <w:p w14:paraId="21E24402">
      <w:pPr>
        <w:jc w:val="center"/>
        <w:rPr>
          <w:rFonts w:hint="eastAsia" w:ascii="黑体" w:hAnsi="黑体" w:eastAsia="黑体" w:cs="黑体"/>
          <w:bCs/>
          <w:sz w:val="44"/>
          <w:szCs w:val="44"/>
        </w:rPr>
      </w:pPr>
      <w:r>
        <w:rPr>
          <w:rFonts w:hint="eastAsia" w:ascii="黑体" w:hAnsi="黑体" w:eastAsia="黑体" w:cs="黑体"/>
          <w:bCs/>
          <w:sz w:val="44"/>
          <w:szCs w:val="44"/>
        </w:rPr>
        <w:t>法定代表人授权书</w:t>
      </w:r>
    </w:p>
    <w:p w14:paraId="6258A921">
      <w:pPr>
        <w:pStyle w:val="7"/>
        <w:ind w:left="0" w:leftChars="0" w:firstLine="0" w:firstLineChars="0"/>
        <w:jc w:val="center"/>
        <w:rPr>
          <w:rFonts w:hint="default"/>
          <w:color w:val="FF0000"/>
          <w:sz w:val="28"/>
          <w:szCs w:val="28"/>
        </w:rPr>
      </w:pPr>
      <w:r>
        <w:rPr>
          <w:color w:val="FF0000"/>
          <w:sz w:val="28"/>
          <w:szCs w:val="28"/>
        </w:rPr>
        <w:t>（如有授权填写）</w:t>
      </w:r>
    </w:p>
    <w:p w14:paraId="51DEC517">
      <w:pPr>
        <w:spacing w:line="600" w:lineRule="exact"/>
        <w:rPr>
          <w:rFonts w:ascii="仿宋_GB2312" w:hAnsi="微软雅黑" w:eastAsia="仿宋_GB2312"/>
          <w:sz w:val="28"/>
          <w:szCs w:val="28"/>
        </w:rPr>
      </w:pPr>
      <w:r>
        <w:rPr>
          <w:rFonts w:hint="eastAsia" w:ascii="仿宋_GB2312" w:hAnsi="微软雅黑" w:eastAsia="仿宋_GB2312"/>
          <w:sz w:val="28"/>
          <w:szCs w:val="28"/>
        </w:rPr>
        <w:t>某单位：</w:t>
      </w:r>
    </w:p>
    <w:p w14:paraId="119F0668">
      <w:pPr>
        <w:spacing w:line="600" w:lineRule="exact"/>
        <w:ind w:firstLine="596" w:firstLineChars="213"/>
        <w:rPr>
          <w:rFonts w:ascii="仿宋_GB2312" w:hAnsi="微软雅黑" w:eastAsia="仿宋_GB2312"/>
          <w:sz w:val="28"/>
          <w:szCs w:val="28"/>
        </w:rPr>
      </w:pPr>
      <w:r>
        <w:rPr>
          <w:rFonts w:hint="eastAsia" w:ascii="仿宋_GB2312" w:hAnsi="微软雅黑" w:eastAsia="仿宋_GB2312"/>
          <w:sz w:val="28"/>
          <w:szCs w:val="28"/>
          <w:u w:val="single"/>
        </w:rPr>
        <w:t>（报价人全称）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14:paraId="6830EE36">
      <w:pPr>
        <w:spacing w:line="560" w:lineRule="exact"/>
        <w:ind w:firstLine="600"/>
        <w:rPr>
          <w:rFonts w:ascii="仿宋_GB2312" w:hAnsi="微软雅黑" w:eastAsia="仿宋_GB2312"/>
          <w:sz w:val="28"/>
          <w:szCs w:val="28"/>
        </w:rPr>
      </w:pPr>
    </w:p>
    <w:p w14:paraId="6506701D">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030B9EAC">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w:t>
      </w:r>
    </w:p>
    <w:p w14:paraId="3675A31B">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法定代表人：（签字或盖章）</w:t>
      </w:r>
    </w:p>
    <w:p w14:paraId="1C98795B">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年    月    日</w:t>
      </w:r>
    </w:p>
    <w:p w14:paraId="60DA7EAA">
      <w:pPr>
        <w:spacing w:line="560" w:lineRule="exact"/>
        <w:rPr>
          <w:rFonts w:ascii="仿宋_GB2312" w:hAnsi="微软雅黑" w:eastAsia="仿宋_GB2312"/>
          <w:sz w:val="28"/>
          <w:szCs w:val="28"/>
        </w:rPr>
      </w:pPr>
      <w:r>
        <w:rPr>
          <w:rFonts w:hint="eastAsia" w:ascii="仿宋_GB2312" w:hAnsi="微软雅黑" w:eastAsia="仿宋_GB2312"/>
          <w:sz w:val="28"/>
          <w:szCs w:val="28"/>
        </w:rPr>
        <w:t>附：</w:t>
      </w:r>
    </w:p>
    <w:p w14:paraId="2778CB5E">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授权代表姓名：              身份证号码：</w:t>
      </w:r>
    </w:p>
    <w:p w14:paraId="173A5E4D">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职    务：                  电    话：</w:t>
      </w:r>
    </w:p>
    <w:p w14:paraId="25362FE6">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传    真：                  邮    编：</w:t>
      </w:r>
    </w:p>
    <w:p w14:paraId="7816367F">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通讯地址：</w:t>
      </w:r>
    </w:p>
    <w:p w14:paraId="666D29A7">
      <w:pPr>
        <w:spacing w:line="560" w:lineRule="exact"/>
        <w:ind w:firstLine="573"/>
        <w:rPr>
          <w:rFonts w:ascii="仿宋_GB2312" w:eastAsia="仿宋_GB2312"/>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17" name="文本框 1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07D86B51">
                            <w:pPr>
                              <w:jc w:val="center"/>
                              <w:rPr>
                                <w:rFonts w:ascii="宋体"/>
                              </w:rPr>
                            </w:pPr>
                          </w:p>
                          <w:p w14:paraId="5DE7E28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6AABEFD">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1pt;margin-top:14.6pt;height:88.65pt;width:176.45pt;z-index:251662336;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DH65e1gAAAAoBAAAPAAAA&#10;AAAAAAEAIAAAACIAAABkcnMvZG93bnJldi54bWxQSwECFAAUAAAACACHTuJArSgQ51ACAACkBAAA&#10;DgAAAAAAAAABACAAAAAlAQAAZHJzL2Uyb0RvYy54bWxQSwUGAAAAAAYABgBZAQAA5wUAAAAA&#10;">
                <v:fill on="t" focussize="0,0"/>
                <v:stroke color="#000000" miterlimit="8" joinstyle="miter" dashstyle="dash"/>
                <v:imagedata o:title=""/>
                <o:lock v:ext="edit" aspectratio="f"/>
                <v:textbox>
                  <w:txbxContent>
                    <w:p w14:paraId="07D86B51">
                      <w:pPr>
                        <w:jc w:val="center"/>
                        <w:rPr>
                          <w:rFonts w:ascii="宋体"/>
                        </w:rPr>
                      </w:pPr>
                    </w:p>
                    <w:p w14:paraId="5DE7E28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6AABEFD">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7AD58A75">
                            <w:pPr>
                              <w:jc w:val="center"/>
                              <w:rPr>
                                <w:rFonts w:ascii="宋体"/>
                              </w:rPr>
                            </w:pPr>
                          </w:p>
                          <w:p w14:paraId="7CA880F1">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55489A42">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9.25pt;margin-top:14.45pt;height:88.65pt;width:176.45pt;z-index:251661312;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YK40XWAAAACQEAAA8AAAAA&#10;AAAAAQAgAAAAIgAAAGRycy9kb3ducmV2LnhtbFBLAQIUABQAAAAIAIdO4kCOvQrBTwIAAKQEAAAO&#10;AAAAAAAAAAEAIAAAACUBAABkcnMvZTJvRG9jLnhtbFBLBQYAAAAABgAGAFkBAADmBQAAAAA=&#10;">
                <v:fill on="t" focussize="0,0"/>
                <v:stroke color="#000000" miterlimit="8" joinstyle="miter" dashstyle="dash"/>
                <v:imagedata o:title=""/>
                <o:lock v:ext="edit" aspectratio="f"/>
                <v:textbox>
                  <w:txbxContent>
                    <w:p w14:paraId="7AD58A75">
                      <w:pPr>
                        <w:jc w:val="center"/>
                        <w:rPr>
                          <w:rFonts w:ascii="宋体"/>
                        </w:rPr>
                      </w:pPr>
                    </w:p>
                    <w:p w14:paraId="7CA880F1">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55489A42">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14:paraId="15CCF555">
      <w:pPr>
        <w:spacing w:line="560" w:lineRule="exact"/>
        <w:ind w:firstLine="573"/>
        <w:rPr>
          <w:rFonts w:ascii="仿宋_GB2312" w:eastAsia="仿宋_GB2312"/>
        </w:rPr>
      </w:pPr>
    </w:p>
    <w:p w14:paraId="5F93FFBE">
      <w:pPr>
        <w:spacing w:line="560" w:lineRule="exact"/>
        <w:ind w:firstLine="573"/>
        <w:rPr>
          <w:rFonts w:ascii="仿宋_GB2312" w:eastAsia="仿宋_GB2312"/>
        </w:rPr>
      </w:pPr>
    </w:p>
    <w:p w14:paraId="09015306">
      <w:pPr>
        <w:spacing w:line="560" w:lineRule="exact"/>
        <w:ind w:firstLine="573"/>
        <w:rPr>
          <w:rFonts w:ascii="仿宋_GB2312" w:eastAsia="仿宋_GB2312"/>
        </w:rPr>
      </w:pPr>
    </w:p>
    <w:p w14:paraId="4BDADA4E">
      <w:pPr>
        <w:pStyle w:val="7"/>
        <w:tabs>
          <w:tab w:val="left" w:pos="1875"/>
        </w:tabs>
        <w:ind w:left="0" w:leftChars="0" w:firstLine="0" w:firstLineChars="0"/>
        <w:rPr>
          <w:rFonts w:hint="default" w:hAnsi="微软雅黑"/>
          <w:sz w:val="28"/>
          <w:szCs w:val="28"/>
        </w:rPr>
      </w:pPr>
      <w:r>
        <w:rPr>
          <w:rFonts w:hAnsi="微软雅黑"/>
          <w:sz w:val="28"/>
          <w:szCs w:val="28"/>
        </w:rPr>
        <w:br w:type="page"/>
      </w:r>
      <w:r>
        <w:rPr>
          <w:rFonts w:hAnsi="微软雅黑"/>
          <w:sz w:val="28"/>
          <w:szCs w:val="28"/>
        </w:rPr>
        <w:t>附件4</w:t>
      </w:r>
    </w:p>
    <w:p w14:paraId="4FE4EAB6">
      <w:pPr>
        <w:jc w:val="center"/>
        <w:rPr>
          <w:rFonts w:hint="eastAsia" w:ascii="黑体" w:hAnsi="黑体" w:eastAsia="黑体" w:cs="黑体"/>
          <w:bCs/>
          <w:sz w:val="44"/>
          <w:szCs w:val="44"/>
        </w:rPr>
      </w:pPr>
      <w:r>
        <w:rPr>
          <w:rFonts w:hint="eastAsia" w:ascii="黑体" w:hAnsi="黑体" w:eastAsia="黑体" w:cs="黑体"/>
          <w:bCs/>
          <w:sz w:val="44"/>
          <w:szCs w:val="44"/>
        </w:rPr>
        <w:t>供应商承诺声明</w:t>
      </w:r>
    </w:p>
    <w:p w14:paraId="6281E466">
      <w:pPr>
        <w:spacing w:line="520" w:lineRule="exact"/>
        <w:rPr>
          <w:rFonts w:ascii="仿宋_GB2312" w:hAnsi="微软雅黑" w:eastAsia="仿宋_GB2312"/>
          <w:sz w:val="28"/>
          <w:szCs w:val="28"/>
        </w:rPr>
      </w:pPr>
      <w:r>
        <w:rPr>
          <w:rFonts w:hint="eastAsia" w:ascii="仿宋_GB2312" w:hAnsi="微软雅黑" w:eastAsia="仿宋_GB2312"/>
          <w:sz w:val="28"/>
          <w:szCs w:val="28"/>
        </w:rPr>
        <w:t>某单位：</w:t>
      </w:r>
    </w:p>
    <w:p w14:paraId="0A3531AA">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（项目名称）</w:t>
      </w:r>
      <w:r>
        <w:rPr>
          <w:rFonts w:hint="eastAsia" w:ascii="仿宋_GB2312" w:hAnsi="宋体" w:eastAsia="仿宋_GB2312"/>
          <w:sz w:val="28"/>
          <w:szCs w:val="28"/>
        </w:rPr>
        <w:t>、（项目编号：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）采购活动，承诺声明如下：</w:t>
      </w:r>
    </w:p>
    <w:p w14:paraId="5C71EAD8">
      <w:pPr>
        <w:spacing w:line="600" w:lineRule="exact"/>
        <w:ind w:firstLine="560" w:firstLineChars="200"/>
        <w:rPr>
          <w:rFonts w:ascii="黑体" w:hAnsi="黑体" w:eastAsia="黑体"/>
          <w:sz w:val="28"/>
          <w:szCs w:val="28"/>
        </w:rPr>
      </w:pPr>
      <w:r>
        <w:rPr>
          <w:rFonts w:hint="eastAsia" w:ascii="黑体" w:hAnsi="黑体" w:eastAsia="黑体"/>
          <w:sz w:val="28"/>
          <w:szCs w:val="28"/>
        </w:rPr>
        <w:t>一、供应商诚信承诺</w:t>
      </w:r>
    </w:p>
    <w:p w14:paraId="534AA737">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14:paraId="4F24188A">
      <w:pPr>
        <w:widowControl/>
        <w:spacing w:line="60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14:paraId="44302027">
      <w:pPr>
        <w:spacing w:line="600" w:lineRule="exact"/>
        <w:ind w:firstLine="560" w:firstLineChars="200"/>
        <w:rPr>
          <w:rFonts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14:paraId="1764A0BF">
      <w:pPr>
        <w:spacing w:line="600" w:lineRule="exact"/>
        <w:ind w:firstLine="560" w:firstLineChars="200"/>
        <w:rPr>
          <w:rFonts w:ascii="黑体" w:hAnsi="黑体" w:eastAsia="黑体"/>
          <w:sz w:val="28"/>
          <w:szCs w:val="28"/>
        </w:rPr>
      </w:pPr>
      <w:r>
        <w:rPr>
          <w:rFonts w:hint="eastAsia" w:ascii="黑体" w:hAnsi="黑体" w:eastAsia="黑体"/>
          <w:sz w:val="28"/>
          <w:szCs w:val="28"/>
        </w:rPr>
        <w:t>二、保密承诺</w:t>
      </w:r>
    </w:p>
    <w:p w14:paraId="3B58E7C2">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14:paraId="62D5E9C1">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14:paraId="1C2C4989">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3.不违规记录、存储、复制本次采购项目相关信息。</w:t>
      </w:r>
    </w:p>
    <w:p w14:paraId="26DA25B8">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14:paraId="34959FDF">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14:paraId="6E86C1AA">
      <w:pPr>
        <w:spacing w:line="600" w:lineRule="exact"/>
        <w:ind w:firstLine="560" w:firstLineChars="200"/>
        <w:rPr>
          <w:rFonts w:ascii="黑体" w:hAnsi="黑体" w:eastAsia="黑体"/>
          <w:sz w:val="28"/>
          <w:szCs w:val="28"/>
        </w:rPr>
      </w:pPr>
      <w:r>
        <w:rPr>
          <w:rFonts w:hint="eastAsia" w:ascii="黑体" w:hAnsi="黑体" w:eastAsia="黑体"/>
          <w:sz w:val="28"/>
          <w:szCs w:val="28"/>
        </w:rPr>
        <w:t>三、未被列入违法失信名单承诺</w:t>
      </w:r>
    </w:p>
    <w:p w14:paraId="6130430D">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2190B90A">
      <w:pPr>
        <w:spacing w:line="600" w:lineRule="exact"/>
        <w:ind w:firstLine="560" w:firstLineChars="200"/>
        <w:rPr>
          <w:rFonts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14:paraId="03A8DB8F">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14:paraId="1AF789E7">
      <w:pPr>
        <w:spacing w:line="600" w:lineRule="exact"/>
        <w:ind w:firstLine="560" w:firstLineChars="200"/>
        <w:rPr>
          <w:rFonts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14:paraId="635DEC4A">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243687E3">
      <w:pPr>
        <w:spacing w:line="600" w:lineRule="exact"/>
        <w:ind w:firstLine="560" w:firstLineChars="200"/>
        <w:rPr>
          <w:rFonts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14:paraId="35BDB5AB">
      <w:pPr>
        <w:spacing w:line="600" w:lineRule="exact"/>
        <w:ind w:firstLine="560" w:firstLineChars="200"/>
        <w:rPr>
          <w:rFonts w:ascii="黑体" w:hAnsi="黑体" w:eastAsia="黑体"/>
          <w:sz w:val="28"/>
          <w:szCs w:val="28"/>
        </w:rPr>
      </w:pPr>
      <w:r>
        <w:rPr>
          <w:rFonts w:hint="eastAsia" w:ascii="黑体" w:hAnsi="黑体" w:eastAsia="黑体"/>
          <w:sz w:val="28"/>
          <w:szCs w:val="28"/>
        </w:rPr>
        <w:t>五、前3年没有重大违法记录的书面声明</w:t>
      </w:r>
    </w:p>
    <w:p w14:paraId="6106BCB8">
      <w:pPr>
        <w:spacing w:line="600" w:lineRule="exact"/>
        <w:ind w:firstLine="560" w:firstLineChars="200"/>
        <w:rPr>
          <w:rFonts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14:paraId="05D4536F">
      <w:pPr>
        <w:keepNext/>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黑体" w:hAnsi="黑体" w:eastAsia="黑体"/>
          <w:sz w:val="28"/>
          <w:szCs w:val="28"/>
        </w:rPr>
      </w:pPr>
      <w:r>
        <w:rPr>
          <w:rFonts w:hint="eastAsia" w:ascii="黑体" w:hAnsi="黑体" w:eastAsia="黑体"/>
          <w:sz w:val="28"/>
          <w:szCs w:val="28"/>
        </w:rPr>
        <w:t>六、没有发生过重大质量安全事故的书面声明</w:t>
      </w:r>
    </w:p>
    <w:p w14:paraId="47DBEA2B">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我单位近3年没有发生过重大质量安全事故。</w:t>
      </w:r>
    </w:p>
    <w:p w14:paraId="2DAD489E">
      <w:pPr>
        <w:spacing w:line="600" w:lineRule="exact"/>
        <w:ind w:firstLine="560" w:firstLineChars="200"/>
        <w:rPr>
          <w:rFonts w:ascii="黑体" w:hAnsi="黑体" w:eastAsia="黑体"/>
          <w:sz w:val="28"/>
          <w:szCs w:val="28"/>
        </w:rPr>
      </w:pPr>
      <w:r>
        <w:rPr>
          <w:rFonts w:hint="eastAsia" w:ascii="黑体" w:hAnsi="黑体" w:eastAsia="黑体"/>
          <w:sz w:val="28"/>
          <w:szCs w:val="28"/>
        </w:rPr>
        <w:t>七、非外资独资企业或控股企业的书面声明</w:t>
      </w:r>
    </w:p>
    <w:p w14:paraId="203E6553">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我单位为非外资独资企业或控股企业。</w:t>
      </w:r>
    </w:p>
    <w:p w14:paraId="7ED2E12A">
      <w:pPr>
        <w:widowControl/>
        <w:autoSpaceDE w:val="0"/>
        <w:autoSpaceDN w:val="0"/>
        <w:adjustRightInd w:val="0"/>
        <w:spacing w:line="600" w:lineRule="exact"/>
        <w:ind w:firstLine="560" w:firstLineChars="200"/>
        <w:rPr>
          <w:rFonts w:ascii="仿宋_GB2312" w:eastAsia="仿宋_GB2312"/>
          <w:sz w:val="28"/>
          <w:szCs w:val="28"/>
        </w:rPr>
      </w:pPr>
    </w:p>
    <w:p w14:paraId="129CEA11">
      <w:pPr>
        <w:widowControl/>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14:paraId="2F45CD5A">
      <w:pPr>
        <w:widowControl/>
        <w:autoSpaceDE w:val="0"/>
        <w:autoSpaceDN w:val="0"/>
        <w:adjustRightInd w:val="0"/>
        <w:spacing w:line="600" w:lineRule="exact"/>
        <w:ind w:firstLine="560" w:firstLineChars="200"/>
        <w:rPr>
          <w:rFonts w:ascii="仿宋_GB2312" w:hAnsi="宋体" w:eastAsia="仿宋_GB2312"/>
          <w:sz w:val="28"/>
          <w:szCs w:val="28"/>
        </w:rPr>
      </w:pPr>
    </w:p>
    <w:p w14:paraId="434983DC">
      <w:pPr>
        <w:widowControl/>
        <w:autoSpaceDE w:val="0"/>
        <w:autoSpaceDN w:val="0"/>
        <w:adjustRightInd w:val="0"/>
        <w:spacing w:line="600" w:lineRule="exact"/>
        <w:ind w:firstLine="560" w:firstLineChars="200"/>
        <w:rPr>
          <w:rFonts w:ascii="仿宋_GB2312" w:hAnsi="宋体" w:eastAsia="仿宋_GB2312"/>
          <w:sz w:val="28"/>
          <w:szCs w:val="28"/>
        </w:rPr>
      </w:pPr>
    </w:p>
    <w:p w14:paraId="5EAE6714">
      <w:pPr>
        <w:widowControl/>
        <w:autoSpaceDE w:val="0"/>
        <w:autoSpaceDN w:val="0"/>
        <w:adjustRightInd w:val="0"/>
        <w:spacing w:line="600" w:lineRule="exact"/>
        <w:ind w:firstLine="560" w:firstLineChars="200"/>
        <w:rPr>
          <w:rFonts w:ascii="仿宋_GB2312" w:eastAsia="仿宋_GB2312"/>
          <w:sz w:val="28"/>
          <w:szCs w:val="28"/>
        </w:rPr>
      </w:pPr>
    </w:p>
    <w:p w14:paraId="69EC1219">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405DEB60">
      <w:pPr>
        <w:spacing w:line="600" w:lineRule="exact"/>
        <w:ind w:firstLine="3080" w:firstLineChars="1100"/>
        <w:jc w:val="left"/>
        <w:rPr>
          <w:rFonts w:ascii="仿宋_GB2312" w:hAnsi="宋体" w:eastAsia="仿宋_GB2312"/>
          <w:sz w:val="28"/>
          <w:szCs w:val="28"/>
        </w:rPr>
      </w:pPr>
      <w:r>
        <w:rPr>
          <w:rFonts w:hint="eastAsia" w:ascii="仿宋_GB2312" w:hAnsi="宋体" w:eastAsia="仿宋_GB2312"/>
          <w:sz w:val="28"/>
          <w:szCs w:val="28"/>
        </w:rPr>
        <w:t>法定代表人（或授权代表）：（签字）</w:t>
      </w:r>
    </w:p>
    <w:p w14:paraId="1F88B9BA">
      <w:pPr>
        <w:pStyle w:val="3"/>
        <w:ind w:left="0" w:leftChars="0"/>
      </w:pPr>
    </w:p>
    <w:p w14:paraId="516B534A">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年    月    日</w:t>
      </w:r>
    </w:p>
    <w:p w14:paraId="302AD5F3"/>
    <w:p w14:paraId="4EACFDB8"/>
    <w:sectPr>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A0F10">
    <w:pPr>
      <w:snapToGrid w:val="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B22BB">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A31DF">
    <w:pPr>
      <w:snapToGrid w:val="0"/>
      <w:rPr>
        <w:rFonts w:ascii="宋体" w:hAns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7BC8">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8F45B9"/>
    <w:rsid w:val="318F4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index 4"/>
    <w:basedOn w:val="1"/>
    <w:next w:val="1"/>
    <w:qFormat/>
    <w:uiPriority w:val="0"/>
    <w:pPr>
      <w:ind w:left="600" w:leftChars="600"/>
    </w:pPr>
    <w:rPr>
      <w:rFonts w:ascii="Verdana" w:hAnsi="Verdana" w:eastAsia="宋体" w:cs="Times New Roman"/>
      <w:szCs w:val="20"/>
    </w:rPr>
  </w:style>
  <w:style w:type="paragraph" w:styleId="4">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99"/>
    <w:pPr>
      <w:spacing w:beforeAutospacing="1" w:afterAutospacing="1"/>
      <w:jc w:val="left"/>
    </w:pPr>
    <w:rPr>
      <w:rFonts w:ascii="Times New Roman" w:hAnsi="Times New Roman" w:eastAsia="宋体" w:cs="Times New Roman"/>
      <w:kern w:val="0"/>
      <w:sz w:val="24"/>
    </w:rPr>
  </w:style>
  <w:style w:type="paragraph" w:styleId="7">
    <w:name w:val="Body Text First Indent 2"/>
    <w:basedOn w:val="2"/>
    <w:qFormat/>
    <w:uiPriority w:val="0"/>
    <w:pPr>
      <w:ind w:firstLine="420" w:firstLineChars="200"/>
    </w:pPr>
    <w:rPr>
      <w:rFonts w:hint="eastAsia" w:ascii="仿宋_GB2312" w:hAnsi="宋体" w:eastAsia="仿宋_GB2312" w:cs="Times New Roman"/>
      <w:color w:val="000000"/>
      <w:spacing w:val="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2026-09-16T00:37:00Z</dcterms:created>
  <dc:creator>许天罡</dc:creator>
  <cp:lastModifiedBy>许天罡</cp:lastModifiedBy>
  <dcterms:modified xsi:type="dcterms:W3CDTF">2026-09-16T00:38:27Z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9508FAFAE9094FD395054F02C7297696_11</vt:lpwstr>
  </property>
  <property fmtid="{D5CDD505-2E9C-101B-9397-08002B2CF9AE}" pid="4" name="KSOTemplateDocerSaveRecord">
    <vt:lpwstr>eyJoZGlkIjoiMjgyNWFlMmJhMmE2MDkzMDhiZWI4ODA1OGU2N2NjZDMiLCJ1c2VySWQiOiIzMzQwMDQ3NDIifQ==</vt:lpwstr>
  </property>
</Properties>
</file>